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color w:val="auto"/>
          <w:sz w:val="24"/>
          <w:szCs w:val="24"/>
        </w:rPr>
      </w:pPr>
    </w:p>
    <w:p>
      <w:pPr>
        <w:spacing w:line="500" w:lineRule="exact"/>
        <w:jc w:val="center"/>
        <w:rPr>
          <w:rFonts w:ascii="宋体"/>
          <w:b/>
          <w:color w:val="auto"/>
          <w:sz w:val="24"/>
          <w:szCs w:val="24"/>
        </w:rPr>
      </w:pPr>
    </w:p>
    <w:p>
      <w:pPr>
        <w:spacing w:line="500" w:lineRule="exact"/>
        <w:jc w:val="center"/>
        <w:rPr>
          <w:rFonts w:ascii="宋体"/>
          <w:b/>
          <w:color w:val="auto"/>
          <w:sz w:val="24"/>
          <w:szCs w:val="24"/>
        </w:rPr>
      </w:pPr>
    </w:p>
    <w:p>
      <w:pPr>
        <w:spacing w:line="720" w:lineRule="auto"/>
        <w:jc w:val="center"/>
        <w:rPr>
          <w:rFonts w:ascii="宋体"/>
          <w:b/>
          <w:color w:val="auto"/>
          <w:sz w:val="96"/>
          <w:szCs w:val="96"/>
        </w:rPr>
      </w:pPr>
      <w:r>
        <w:rPr>
          <w:rFonts w:hint="eastAsia" w:ascii="宋体" w:hAnsi="宋体"/>
          <w:b/>
          <w:color w:val="auto"/>
          <w:sz w:val="96"/>
          <w:szCs w:val="96"/>
        </w:rPr>
        <w:t>招标文件</w:t>
      </w:r>
    </w:p>
    <w:p>
      <w:pPr>
        <w:spacing w:line="500" w:lineRule="exact"/>
        <w:rPr>
          <w:rFonts w:ascii="宋体"/>
          <w:b/>
          <w:color w:val="auto"/>
          <w:sz w:val="24"/>
          <w:szCs w:val="24"/>
        </w:rPr>
      </w:pPr>
    </w:p>
    <w:p>
      <w:pPr>
        <w:spacing w:line="500" w:lineRule="exact"/>
        <w:jc w:val="center"/>
        <w:rPr>
          <w:rFonts w:ascii="宋体"/>
          <w:b/>
          <w:color w:val="auto"/>
          <w:sz w:val="24"/>
          <w:szCs w:val="24"/>
        </w:rPr>
      </w:pPr>
    </w:p>
    <w:p>
      <w:pPr>
        <w:spacing w:line="500" w:lineRule="exact"/>
        <w:jc w:val="center"/>
        <w:rPr>
          <w:rFonts w:ascii="宋体"/>
          <w:b/>
          <w:color w:val="auto"/>
          <w:sz w:val="24"/>
          <w:szCs w:val="24"/>
        </w:rPr>
      </w:pPr>
    </w:p>
    <w:p>
      <w:pPr>
        <w:spacing w:line="500" w:lineRule="exact"/>
        <w:jc w:val="center"/>
        <w:rPr>
          <w:rFonts w:ascii="宋体"/>
          <w:b/>
          <w:color w:val="auto"/>
          <w:sz w:val="24"/>
          <w:szCs w:val="24"/>
        </w:rPr>
      </w:pPr>
    </w:p>
    <w:p>
      <w:pPr>
        <w:spacing w:line="500" w:lineRule="exact"/>
        <w:jc w:val="center"/>
        <w:rPr>
          <w:rFonts w:hint="default" w:ascii="宋体" w:hAnsi="宋体" w:eastAsia="宋体"/>
          <w:b/>
          <w:color w:val="auto"/>
          <w:sz w:val="36"/>
          <w:szCs w:val="36"/>
          <w:u w:val="single"/>
          <w:lang w:val="en-US" w:eastAsia="zh-CN"/>
        </w:rPr>
      </w:pPr>
      <w:r>
        <w:rPr>
          <w:rFonts w:hint="eastAsia" w:ascii="宋体" w:hAnsi="宋体"/>
          <w:b/>
          <w:color w:val="auto"/>
          <w:sz w:val="36"/>
          <w:szCs w:val="36"/>
        </w:rPr>
        <w:t>项目编号：</w:t>
      </w:r>
      <w:r>
        <w:rPr>
          <w:rFonts w:ascii="宋体" w:hAnsi="宋体"/>
          <w:b/>
          <w:color w:val="auto"/>
          <w:sz w:val="36"/>
          <w:szCs w:val="36"/>
        </w:rPr>
        <w:t>YDZC  20</w:t>
      </w:r>
      <w:r>
        <w:rPr>
          <w:rFonts w:hint="eastAsia" w:ascii="宋体" w:hAnsi="宋体"/>
          <w:b/>
          <w:color w:val="auto"/>
          <w:sz w:val="36"/>
          <w:szCs w:val="36"/>
        </w:rPr>
        <w:t>2</w:t>
      </w:r>
      <w:r>
        <w:rPr>
          <w:rFonts w:hint="eastAsia" w:ascii="宋体" w:hAnsi="宋体"/>
          <w:b/>
          <w:color w:val="auto"/>
          <w:sz w:val="36"/>
          <w:szCs w:val="36"/>
          <w:lang w:val="en-US" w:eastAsia="zh-CN"/>
        </w:rPr>
        <w:t>1</w:t>
      </w:r>
      <w:r>
        <w:rPr>
          <w:rFonts w:ascii="宋体" w:hAnsi="宋体"/>
          <w:b/>
          <w:color w:val="auto"/>
          <w:sz w:val="36"/>
          <w:szCs w:val="36"/>
        </w:rPr>
        <w:t>-</w:t>
      </w:r>
      <w:r>
        <w:rPr>
          <w:rFonts w:hint="eastAsia" w:ascii="宋体" w:hAnsi="宋体"/>
          <w:b/>
          <w:color w:val="auto"/>
          <w:sz w:val="36"/>
          <w:szCs w:val="36"/>
          <w:lang w:val="en-US" w:eastAsia="zh-CN"/>
        </w:rPr>
        <w:t xml:space="preserve">FS202-2 </w:t>
      </w:r>
    </w:p>
    <w:p>
      <w:pPr>
        <w:spacing w:line="500" w:lineRule="exact"/>
        <w:jc w:val="center"/>
        <w:rPr>
          <w:rFonts w:ascii="宋体"/>
          <w:b/>
          <w:color w:val="auto"/>
          <w:sz w:val="36"/>
          <w:szCs w:val="36"/>
        </w:rPr>
      </w:pPr>
    </w:p>
    <w:p>
      <w:pPr>
        <w:spacing w:line="500" w:lineRule="exact"/>
        <w:jc w:val="center"/>
        <w:rPr>
          <w:rFonts w:ascii="宋体"/>
          <w:b/>
          <w:color w:val="auto"/>
          <w:sz w:val="36"/>
          <w:szCs w:val="36"/>
        </w:rPr>
      </w:pPr>
    </w:p>
    <w:p>
      <w:pPr>
        <w:spacing w:line="500" w:lineRule="exact"/>
        <w:jc w:val="center"/>
        <w:rPr>
          <w:rFonts w:hint="eastAsia" w:ascii="宋体" w:eastAsia="宋体"/>
          <w:b/>
          <w:color w:val="auto"/>
          <w:sz w:val="36"/>
          <w:szCs w:val="36"/>
          <w:lang w:eastAsia="zh-CN"/>
        </w:rPr>
      </w:pPr>
      <w:r>
        <w:rPr>
          <w:rFonts w:hint="eastAsia" w:ascii="宋体" w:hAnsi="宋体"/>
          <w:b/>
          <w:color w:val="auto"/>
          <w:sz w:val="36"/>
          <w:szCs w:val="36"/>
        </w:rPr>
        <w:t>项</w:t>
      </w:r>
      <w:r>
        <w:rPr>
          <w:rFonts w:hint="eastAsia" w:ascii="宋体" w:hAnsi="宋体" w:cs="宋体"/>
          <w:b/>
          <w:color w:val="auto"/>
          <w:sz w:val="36"/>
          <w:szCs w:val="36"/>
        </w:rPr>
        <w:t>目名称：</w:t>
      </w:r>
      <w:r>
        <w:rPr>
          <w:rFonts w:hint="eastAsia" w:ascii="宋体" w:hAnsi="宋体" w:cs="宋体"/>
          <w:b/>
          <w:color w:val="auto"/>
          <w:sz w:val="36"/>
          <w:szCs w:val="36"/>
          <w:lang w:eastAsia="zh-CN"/>
        </w:rPr>
        <w:t>碧水嘉苑、馨隆花苑、云溪美地、朗达壹号院等八个小区安装电瓶车禁入电梯预警监测系统（</w:t>
      </w:r>
      <w:r>
        <w:rPr>
          <w:rFonts w:hint="eastAsia" w:ascii="宋体" w:hAnsi="宋体" w:cs="宋体"/>
          <w:b/>
          <w:color w:val="auto"/>
          <w:sz w:val="36"/>
          <w:szCs w:val="36"/>
          <w:lang w:val="en-US" w:eastAsia="zh-CN"/>
        </w:rPr>
        <w:t>二次</w:t>
      </w:r>
      <w:r>
        <w:rPr>
          <w:rFonts w:hint="eastAsia" w:ascii="宋体" w:hAnsi="宋体" w:cs="宋体"/>
          <w:b/>
          <w:color w:val="auto"/>
          <w:sz w:val="36"/>
          <w:szCs w:val="36"/>
          <w:lang w:eastAsia="zh-CN"/>
        </w:rPr>
        <w:t>）</w:t>
      </w:r>
    </w:p>
    <w:p>
      <w:pPr>
        <w:spacing w:line="500" w:lineRule="exact"/>
        <w:rPr>
          <w:rFonts w:ascii="宋体"/>
          <w:b/>
          <w:color w:val="auto"/>
          <w:sz w:val="24"/>
          <w:szCs w:val="24"/>
        </w:rPr>
      </w:pPr>
    </w:p>
    <w:p>
      <w:pPr>
        <w:spacing w:line="500" w:lineRule="exact"/>
        <w:rPr>
          <w:rFonts w:ascii="宋体"/>
          <w:b/>
          <w:color w:val="auto"/>
          <w:sz w:val="24"/>
          <w:szCs w:val="24"/>
        </w:rPr>
      </w:pPr>
    </w:p>
    <w:p>
      <w:pPr>
        <w:spacing w:line="500" w:lineRule="exact"/>
        <w:rPr>
          <w:rFonts w:ascii="宋体"/>
          <w:b/>
          <w:color w:val="auto"/>
          <w:sz w:val="24"/>
          <w:szCs w:val="24"/>
        </w:rPr>
      </w:pPr>
    </w:p>
    <w:p>
      <w:pPr>
        <w:spacing w:line="500" w:lineRule="exact"/>
        <w:rPr>
          <w:rFonts w:ascii="宋体"/>
          <w:b/>
          <w:color w:val="auto"/>
          <w:sz w:val="24"/>
          <w:szCs w:val="24"/>
        </w:rPr>
      </w:pPr>
    </w:p>
    <w:p>
      <w:pPr>
        <w:spacing w:line="500" w:lineRule="exact"/>
        <w:jc w:val="center"/>
        <w:rPr>
          <w:rFonts w:ascii="宋体" w:cs="黑体"/>
          <w:bCs/>
          <w:color w:val="auto"/>
          <w:spacing w:val="15"/>
          <w:sz w:val="32"/>
          <w:szCs w:val="32"/>
        </w:rPr>
      </w:pPr>
    </w:p>
    <w:p>
      <w:pPr>
        <w:spacing w:line="500" w:lineRule="exact"/>
        <w:jc w:val="center"/>
        <w:rPr>
          <w:rFonts w:ascii="宋体" w:cs="黑体"/>
          <w:bCs/>
          <w:color w:val="auto"/>
          <w:spacing w:val="15"/>
          <w:sz w:val="32"/>
          <w:szCs w:val="32"/>
        </w:rPr>
      </w:pPr>
    </w:p>
    <w:p>
      <w:pPr>
        <w:spacing w:line="500" w:lineRule="exact"/>
        <w:jc w:val="center"/>
        <w:rPr>
          <w:rFonts w:ascii="宋体" w:cs="黑体"/>
          <w:bCs/>
          <w:color w:val="auto"/>
          <w:spacing w:val="15"/>
          <w:sz w:val="32"/>
          <w:szCs w:val="32"/>
        </w:rPr>
      </w:pPr>
    </w:p>
    <w:p>
      <w:pPr>
        <w:spacing w:line="500" w:lineRule="exact"/>
        <w:jc w:val="center"/>
        <w:rPr>
          <w:rFonts w:ascii="宋体" w:hAnsi="宋体" w:cs="黑体"/>
          <w:bCs/>
          <w:color w:val="auto"/>
          <w:spacing w:val="15"/>
          <w:sz w:val="32"/>
          <w:szCs w:val="32"/>
        </w:rPr>
      </w:pPr>
    </w:p>
    <w:p>
      <w:pPr>
        <w:spacing w:line="500" w:lineRule="exact"/>
        <w:jc w:val="center"/>
        <w:rPr>
          <w:rFonts w:ascii="宋体" w:hAnsi="宋体" w:cs="黑体"/>
          <w:bCs/>
          <w:color w:val="auto"/>
          <w:spacing w:val="15"/>
          <w:sz w:val="32"/>
          <w:szCs w:val="32"/>
        </w:rPr>
      </w:pPr>
    </w:p>
    <w:p>
      <w:pPr>
        <w:spacing w:line="500" w:lineRule="exact"/>
        <w:jc w:val="center"/>
        <w:rPr>
          <w:rFonts w:hint="eastAsia" w:ascii="宋体" w:eastAsia="宋体" w:cs="黑体"/>
          <w:bCs/>
          <w:color w:val="auto"/>
          <w:spacing w:val="15"/>
          <w:sz w:val="32"/>
          <w:szCs w:val="32"/>
          <w:lang w:eastAsia="zh-CN"/>
        </w:rPr>
      </w:pPr>
      <w:r>
        <w:rPr>
          <w:rFonts w:hint="eastAsia" w:ascii="宋体" w:hAnsi="宋体" w:cs="黑体"/>
          <w:bCs/>
          <w:color w:val="auto"/>
          <w:spacing w:val="15"/>
          <w:sz w:val="32"/>
          <w:szCs w:val="32"/>
          <w:lang w:eastAsia="zh-CN"/>
        </w:rPr>
        <w:t>盐城市盐都区人民政府盐龙街道办事处</w:t>
      </w:r>
    </w:p>
    <w:p>
      <w:pPr>
        <w:spacing w:line="500" w:lineRule="exact"/>
        <w:rPr>
          <w:rFonts w:ascii="宋体"/>
          <w:color w:val="auto"/>
          <w:sz w:val="32"/>
          <w:szCs w:val="32"/>
        </w:rPr>
      </w:pPr>
    </w:p>
    <w:p>
      <w:pPr>
        <w:spacing w:line="500" w:lineRule="exact"/>
        <w:jc w:val="center"/>
        <w:rPr>
          <w:rFonts w:ascii="宋体" w:hAnsi="宋体"/>
          <w:color w:val="auto"/>
          <w:sz w:val="32"/>
          <w:szCs w:val="32"/>
        </w:rPr>
      </w:pPr>
      <w:r>
        <w:rPr>
          <w:rFonts w:hint="eastAsia" w:ascii="宋体" w:hAnsi="宋体"/>
          <w:color w:val="auto"/>
          <w:sz w:val="32"/>
          <w:szCs w:val="32"/>
        </w:rPr>
        <w:t>202</w:t>
      </w:r>
      <w:r>
        <w:rPr>
          <w:rFonts w:hint="eastAsia" w:ascii="宋体" w:hAnsi="宋体"/>
          <w:color w:val="auto"/>
          <w:sz w:val="32"/>
          <w:szCs w:val="32"/>
          <w:lang w:val="en-US" w:eastAsia="zh-CN"/>
        </w:rPr>
        <w:t>2</w:t>
      </w:r>
      <w:r>
        <w:rPr>
          <w:rFonts w:hint="eastAsia" w:ascii="宋体" w:hAnsi="宋体"/>
          <w:color w:val="auto"/>
          <w:sz w:val="32"/>
          <w:szCs w:val="32"/>
        </w:rPr>
        <w:t>年</w:t>
      </w:r>
      <w:r>
        <w:rPr>
          <w:rFonts w:hint="eastAsia" w:ascii="宋体" w:hAnsi="宋体"/>
          <w:color w:val="auto"/>
          <w:sz w:val="32"/>
          <w:szCs w:val="32"/>
          <w:lang w:val="en-US" w:eastAsia="zh-CN"/>
        </w:rPr>
        <w:t>1</w:t>
      </w:r>
      <w:r>
        <w:rPr>
          <w:rFonts w:hint="eastAsia" w:ascii="宋体" w:hAnsi="宋体"/>
          <w:color w:val="auto"/>
          <w:sz w:val="32"/>
          <w:szCs w:val="32"/>
        </w:rPr>
        <w:t>月</w:t>
      </w:r>
    </w:p>
    <w:p>
      <w:pPr>
        <w:spacing w:line="500" w:lineRule="exact"/>
        <w:jc w:val="center"/>
        <w:rPr>
          <w:rFonts w:ascii="宋体"/>
          <w:color w:val="auto"/>
          <w:sz w:val="32"/>
          <w:szCs w:val="32"/>
        </w:rPr>
      </w:pPr>
    </w:p>
    <w:p>
      <w:pPr>
        <w:spacing w:line="500" w:lineRule="exact"/>
        <w:jc w:val="center"/>
        <w:outlineLvl w:val="0"/>
        <w:rPr>
          <w:rFonts w:ascii="宋体" w:hAnsi="宋体"/>
          <w:b/>
          <w:color w:val="auto"/>
          <w:sz w:val="52"/>
          <w:szCs w:val="52"/>
        </w:rPr>
        <w:sectPr>
          <w:footerReference r:id="rId5" w:type="first"/>
          <w:headerReference r:id="rId3" w:type="default"/>
          <w:footerReference r:id="rId4" w:type="even"/>
          <w:pgSz w:w="11906" w:h="16838"/>
          <w:pgMar w:top="1440" w:right="1080" w:bottom="1440" w:left="1080" w:header="851" w:footer="992" w:gutter="0"/>
          <w:pgNumType w:start="0"/>
          <w:cols w:space="425" w:num="1"/>
          <w:docGrid w:type="lines" w:linePitch="312" w:charSpace="0"/>
        </w:sectPr>
      </w:pPr>
      <w:bookmarkStart w:id="0" w:name="_Toc120614210"/>
      <w:bookmarkStart w:id="1" w:name="_Toc523127445"/>
      <w:bookmarkStart w:id="2" w:name="_Toc513029200"/>
      <w:bookmarkStart w:id="3" w:name="_Toc20823272"/>
      <w:bookmarkStart w:id="4" w:name="_Toc16938516"/>
      <w:bookmarkStart w:id="5" w:name="_Toc479757206"/>
    </w:p>
    <w:p>
      <w:pPr>
        <w:spacing w:line="500" w:lineRule="exact"/>
        <w:jc w:val="center"/>
        <w:outlineLvl w:val="0"/>
        <w:rPr>
          <w:rFonts w:ascii="宋体"/>
          <w:color w:val="auto"/>
          <w:sz w:val="24"/>
          <w:szCs w:val="24"/>
        </w:rPr>
      </w:pPr>
      <w:r>
        <w:rPr>
          <w:rFonts w:hint="eastAsia" w:ascii="宋体" w:hAnsi="宋体"/>
          <w:b/>
          <w:color w:val="auto"/>
          <w:sz w:val="52"/>
          <w:szCs w:val="52"/>
        </w:rPr>
        <w:t>总目录</w:t>
      </w:r>
    </w:p>
    <w:p>
      <w:pPr>
        <w:spacing w:line="500" w:lineRule="exact"/>
        <w:rPr>
          <w:rFonts w:ascii="宋体"/>
          <w:b/>
          <w:color w:val="auto"/>
          <w:sz w:val="24"/>
          <w:szCs w:val="24"/>
        </w:rPr>
      </w:pPr>
    </w:p>
    <w:p>
      <w:pPr>
        <w:numPr>
          <w:ilvl w:val="0"/>
          <w:numId w:val="2"/>
        </w:numPr>
        <w:spacing w:line="1000" w:lineRule="exact"/>
        <w:outlineLvl w:val="0"/>
        <w:rPr>
          <w:rFonts w:ascii="宋体"/>
          <w:color w:val="auto"/>
          <w:sz w:val="32"/>
          <w:szCs w:val="32"/>
        </w:rPr>
      </w:pPr>
      <w:r>
        <w:rPr>
          <w:rFonts w:hint="eastAsia" w:ascii="宋体" w:hAnsi="宋体"/>
          <w:color w:val="auto"/>
          <w:sz w:val="32"/>
          <w:szCs w:val="32"/>
        </w:rPr>
        <w:t>招标公告……………………………………</w:t>
      </w:r>
      <w:r>
        <w:rPr>
          <w:rFonts w:hint="eastAsia" w:ascii="宋体" w:hAnsi="宋体"/>
          <w:color w:val="auto"/>
          <w:sz w:val="32"/>
          <w:szCs w:val="32"/>
          <w:lang w:val="en-US" w:eastAsia="zh-CN"/>
        </w:rPr>
        <w:t>2</w:t>
      </w:r>
    </w:p>
    <w:p>
      <w:pPr>
        <w:numPr>
          <w:ilvl w:val="0"/>
          <w:numId w:val="2"/>
        </w:numPr>
        <w:spacing w:line="1000" w:lineRule="exact"/>
        <w:outlineLvl w:val="0"/>
        <w:rPr>
          <w:rFonts w:ascii="宋体"/>
          <w:color w:val="auto"/>
          <w:sz w:val="32"/>
          <w:szCs w:val="32"/>
        </w:rPr>
      </w:pPr>
      <w:r>
        <w:rPr>
          <w:rFonts w:hint="eastAsia" w:ascii="宋体" w:hAnsi="宋体"/>
          <w:bCs/>
          <w:color w:val="auto"/>
          <w:sz w:val="32"/>
          <w:szCs w:val="32"/>
        </w:rPr>
        <w:t>投标人须知</w:t>
      </w:r>
      <w:r>
        <w:rPr>
          <w:rFonts w:hint="eastAsia" w:ascii="宋体" w:hAnsi="宋体"/>
          <w:color w:val="auto"/>
          <w:sz w:val="32"/>
          <w:szCs w:val="32"/>
        </w:rPr>
        <w:t>…………………………………</w:t>
      </w:r>
      <w:r>
        <w:rPr>
          <w:rFonts w:hint="eastAsia" w:ascii="宋体" w:hAnsi="宋体"/>
          <w:color w:val="auto"/>
          <w:sz w:val="32"/>
          <w:szCs w:val="32"/>
          <w:lang w:val="en-US" w:eastAsia="zh-CN"/>
        </w:rPr>
        <w:t>5</w:t>
      </w:r>
    </w:p>
    <w:p>
      <w:pPr>
        <w:numPr>
          <w:ilvl w:val="0"/>
          <w:numId w:val="2"/>
        </w:numPr>
        <w:spacing w:line="1000" w:lineRule="exact"/>
        <w:outlineLvl w:val="0"/>
        <w:rPr>
          <w:rFonts w:ascii="宋体"/>
          <w:color w:val="auto"/>
          <w:sz w:val="32"/>
          <w:szCs w:val="32"/>
        </w:rPr>
      </w:pPr>
      <w:r>
        <w:rPr>
          <w:rFonts w:hint="eastAsia" w:ascii="宋体" w:hAnsi="宋体"/>
          <w:color w:val="auto"/>
          <w:sz w:val="32"/>
          <w:szCs w:val="32"/>
        </w:rPr>
        <w:t>合同条款及格式……………………………</w:t>
      </w:r>
      <w:r>
        <w:rPr>
          <w:rFonts w:hint="eastAsia" w:ascii="宋体" w:hAnsi="宋体"/>
          <w:color w:val="auto"/>
          <w:sz w:val="32"/>
          <w:szCs w:val="32"/>
          <w:lang w:val="en-US" w:eastAsia="zh-CN"/>
        </w:rPr>
        <w:t>19</w:t>
      </w:r>
    </w:p>
    <w:p>
      <w:pPr>
        <w:numPr>
          <w:ilvl w:val="0"/>
          <w:numId w:val="2"/>
        </w:numPr>
        <w:spacing w:line="1000" w:lineRule="exact"/>
        <w:outlineLvl w:val="0"/>
        <w:rPr>
          <w:rFonts w:ascii="宋体"/>
          <w:color w:val="auto"/>
          <w:sz w:val="32"/>
          <w:szCs w:val="32"/>
        </w:rPr>
      </w:pPr>
      <w:r>
        <w:rPr>
          <w:rFonts w:hint="eastAsia" w:ascii="宋体" w:hAnsi="宋体"/>
          <w:color w:val="auto"/>
          <w:sz w:val="32"/>
          <w:szCs w:val="32"/>
        </w:rPr>
        <w:t>采购需求……………………………………</w:t>
      </w:r>
      <w:r>
        <w:rPr>
          <w:rFonts w:hint="eastAsia" w:ascii="宋体" w:hAnsi="宋体"/>
          <w:color w:val="auto"/>
          <w:sz w:val="32"/>
          <w:szCs w:val="32"/>
          <w:lang w:val="en-US" w:eastAsia="zh-CN"/>
        </w:rPr>
        <w:t>26</w:t>
      </w:r>
    </w:p>
    <w:p>
      <w:pPr>
        <w:numPr>
          <w:ilvl w:val="0"/>
          <w:numId w:val="2"/>
        </w:numPr>
        <w:spacing w:line="1000" w:lineRule="exact"/>
        <w:outlineLvl w:val="0"/>
        <w:rPr>
          <w:rFonts w:ascii="宋体"/>
          <w:color w:val="auto"/>
          <w:sz w:val="32"/>
          <w:szCs w:val="32"/>
        </w:rPr>
      </w:pPr>
      <w:r>
        <w:rPr>
          <w:rFonts w:hint="eastAsia" w:ascii="宋体" w:hAnsi="宋体"/>
          <w:bCs/>
          <w:color w:val="auto"/>
          <w:sz w:val="32"/>
          <w:szCs w:val="32"/>
        </w:rPr>
        <w:t>评标方法与评标标准</w:t>
      </w:r>
      <w:r>
        <w:rPr>
          <w:rFonts w:hint="eastAsia" w:ascii="宋体" w:hAnsi="宋体"/>
          <w:color w:val="auto"/>
          <w:sz w:val="32"/>
          <w:szCs w:val="32"/>
        </w:rPr>
        <w:t>………………………</w:t>
      </w:r>
      <w:r>
        <w:rPr>
          <w:rFonts w:hint="eastAsia" w:ascii="宋体" w:hAnsi="宋体"/>
          <w:color w:val="auto"/>
          <w:sz w:val="32"/>
          <w:szCs w:val="32"/>
          <w:lang w:val="en-US" w:eastAsia="zh-CN"/>
        </w:rPr>
        <w:t>48</w:t>
      </w:r>
    </w:p>
    <w:p>
      <w:pPr>
        <w:numPr>
          <w:ilvl w:val="0"/>
          <w:numId w:val="2"/>
        </w:numPr>
        <w:spacing w:line="1000" w:lineRule="exact"/>
        <w:outlineLvl w:val="0"/>
        <w:rPr>
          <w:rFonts w:ascii="宋体"/>
          <w:color w:val="auto"/>
          <w:sz w:val="32"/>
          <w:szCs w:val="32"/>
        </w:rPr>
      </w:pPr>
      <w:r>
        <w:rPr>
          <w:rFonts w:hint="eastAsia" w:ascii="宋体" w:hAnsi="宋体"/>
          <w:color w:val="auto"/>
          <w:sz w:val="32"/>
          <w:szCs w:val="32"/>
        </w:rPr>
        <w:t>投标文件格式………………………………</w:t>
      </w:r>
      <w:r>
        <w:rPr>
          <w:rFonts w:hint="eastAsia" w:ascii="宋体" w:hAnsi="宋体"/>
          <w:color w:val="auto"/>
          <w:sz w:val="32"/>
          <w:szCs w:val="32"/>
          <w:lang w:val="en-US" w:eastAsia="zh-CN"/>
        </w:rPr>
        <w:t>53</w:t>
      </w:r>
    </w:p>
    <w:p>
      <w:pPr>
        <w:pStyle w:val="3"/>
        <w:spacing w:line="500" w:lineRule="exact"/>
        <w:rPr>
          <w:rFonts w:ascii="宋体" w:hAnsi="宋体" w:eastAsia="宋体"/>
          <w:bCs/>
          <w:color w:val="auto"/>
          <w:sz w:val="24"/>
          <w:szCs w:val="24"/>
        </w:rPr>
      </w:pPr>
    </w:p>
    <w:p>
      <w:pPr>
        <w:pStyle w:val="3"/>
        <w:spacing w:line="500" w:lineRule="exact"/>
        <w:rPr>
          <w:rFonts w:ascii="宋体" w:hAnsi="宋体" w:eastAsia="宋体"/>
          <w:bCs/>
          <w:color w:val="auto"/>
          <w:sz w:val="24"/>
          <w:szCs w:val="24"/>
        </w:rPr>
      </w:pPr>
    </w:p>
    <w:p>
      <w:pPr>
        <w:widowControl/>
        <w:jc w:val="center"/>
        <w:rPr>
          <w:rFonts w:ascii="宋体" w:hAnsi="宋体"/>
          <w:b/>
          <w:color w:val="auto"/>
          <w:sz w:val="44"/>
          <w:szCs w:val="44"/>
        </w:rPr>
      </w:pPr>
      <w:r>
        <w:rPr>
          <w:rFonts w:ascii="宋体"/>
          <w:color w:val="auto"/>
          <w:sz w:val="24"/>
          <w:szCs w:val="24"/>
        </w:rPr>
        <w:br w:type="page"/>
      </w:r>
      <w:r>
        <w:rPr>
          <w:rFonts w:hint="eastAsia" w:ascii="宋体" w:hAnsi="宋体"/>
          <w:b/>
          <w:color w:val="auto"/>
          <w:sz w:val="44"/>
          <w:szCs w:val="44"/>
        </w:rPr>
        <w:t>第一章</w:t>
      </w:r>
      <w:bookmarkEnd w:id="0"/>
      <w:r>
        <w:rPr>
          <w:rFonts w:hint="eastAsia" w:ascii="宋体" w:hAnsi="宋体"/>
          <w:b/>
          <w:color w:val="auto"/>
          <w:sz w:val="44"/>
          <w:szCs w:val="44"/>
        </w:rPr>
        <w:t xml:space="preserve">  招标公告</w:t>
      </w:r>
    </w:p>
    <w:p>
      <w:pPr>
        <w:pBdr>
          <w:top w:val="single" w:color="auto" w:sz="4" w:space="1"/>
          <w:left w:val="single" w:color="auto" w:sz="4" w:space="4"/>
          <w:bottom w:val="single" w:color="auto" w:sz="4" w:space="1"/>
          <w:right w:val="single" w:color="auto" w:sz="4" w:space="4"/>
        </w:pBdr>
        <w:spacing w:line="500" w:lineRule="exact"/>
        <w:ind w:firstLine="480" w:firstLineChars="20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lang w:eastAsia="zh-CN"/>
        </w:rPr>
        <w:t>碧水嘉苑、馨隆花苑、云溪美地、朗达壹号院等八个小区安装电瓶车禁入电梯预警监测系统（</w:t>
      </w:r>
      <w:r>
        <w:rPr>
          <w:rFonts w:hint="eastAsia" w:asciiTheme="minorEastAsia" w:hAnsiTheme="minorEastAsia" w:eastAsiaTheme="minorEastAsia"/>
          <w:color w:val="auto"/>
          <w:sz w:val="24"/>
          <w:szCs w:val="24"/>
          <w:u w:val="single"/>
          <w:lang w:val="en-US" w:eastAsia="zh-CN"/>
        </w:rPr>
        <w:t>二次</w:t>
      </w:r>
      <w:r>
        <w:rPr>
          <w:rFonts w:hint="eastAsia" w:asciiTheme="minorEastAsia" w:hAnsiTheme="minorEastAsia" w:eastAsiaTheme="minorEastAsia"/>
          <w:color w:val="auto"/>
          <w:sz w:val="24"/>
          <w:szCs w:val="24"/>
          <w:u w:val="single"/>
          <w:lang w:eastAsia="zh-CN"/>
        </w:rPr>
        <w:t>）</w:t>
      </w:r>
      <w:r>
        <w:rPr>
          <w:rFonts w:hint="eastAsia" w:asciiTheme="minorEastAsia" w:hAnsiTheme="minorEastAsia" w:eastAsiaTheme="minorEastAsia"/>
          <w:color w:val="auto"/>
          <w:sz w:val="24"/>
          <w:szCs w:val="24"/>
        </w:rPr>
        <w:t>招标项目的潜在投标人应在“盐城市政府采购网</w:t>
      </w:r>
      <w:r>
        <w:rPr>
          <w:rFonts w:hint="eastAsia" w:asciiTheme="minorEastAsia" w:hAnsiTheme="minorEastAsia" w:eastAsiaTheme="minorEastAsia"/>
          <w:color w:val="auto"/>
          <w:sz w:val="24"/>
          <w:szCs w:val="24"/>
          <w:lang w:val="zh-TW"/>
        </w:rPr>
        <w:t>http://czj.yancheng.gov.cn/col/col2383/index.html” “</w:t>
      </w:r>
      <w:r>
        <w:rPr>
          <w:rFonts w:hint="eastAsia" w:asciiTheme="minorEastAsia" w:hAnsiTheme="minorEastAsia" w:eastAsiaTheme="minorEastAsia"/>
          <w:color w:val="auto"/>
          <w:sz w:val="24"/>
          <w:szCs w:val="24"/>
          <w:lang w:eastAsia="zh-CN"/>
        </w:rPr>
        <w:t>盐城市盐都区人民政府</w:t>
      </w:r>
      <w:r>
        <w:rPr>
          <w:rFonts w:hint="eastAsia" w:asciiTheme="minorEastAsia" w:hAnsiTheme="minorEastAsia" w:eastAsiaTheme="minorEastAsia"/>
          <w:color w:val="auto"/>
          <w:sz w:val="24"/>
          <w:szCs w:val="24"/>
        </w:rPr>
        <w:t>网</w:t>
      </w:r>
      <w:r>
        <w:rPr>
          <w:color w:val="auto"/>
        </w:rPr>
        <w:fldChar w:fldCharType="begin"/>
      </w:r>
      <w:r>
        <w:rPr>
          <w:color w:val="auto"/>
        </w:rPr>
        <w:instrText xml:space="preserve"> HYPERLINK "http://www.yandu.gov.cn/index.html" </w:instrText>
      </w:r>
      <w:r>
        <w:rPr>
          <w:color w:val="auto"/>
        </w:rPr>
        <w:fldChar w:fldCharType="separate"/>
      </w:r>
      <w:r>
        <w:rPr>
          <w:rStyle w:val="44"/>
          <w:rFonts w:hint="eastAsia" w:asciiTheme="minorEastAsia" w:hAnsiTheme="minorEastAsia" w:eastAsiaTheme="minorEastAsia"/>
          <w:color w:val="auto"/>
          <w:sz w:val="24"/>
          <w:szCs w:val="24"/>
          <w:lang w:val="zh-TW"/>
        </w:rPr>
        <w:t>http://www.yandu.gov.cn/index.html”</w:t>
      </w:r>
      <w:r>
        <w:rPr>
          <w:rStyle w:val="44"/>
          <w:rFonts w:hint="eastAsia" w:asciiTheme="minorEastAsia" w:hAnsiTheme="minorEastAsia" w:eastAsiaTheme="minorEastAsia"/>
          <w:color w:val="auto"/>
          <w:sz w:val="24"/>
          <w:szCs w:val="24"/>
        </w:rPr>
        <w:t>获取招标文件，并于202</w:t>
      </w:r>
      <w:r>
        <w:rPr>
          <w:rStyle w:val="44"/>
          <w:rFonts w:hint="eastAsia" w:asciiTheme="minorEastAsia" w:hAnsiTheme="minorEastAsia" w:eastAsiaTheme="minorEastAsia"/>
          <w:color w:val="auto"/>
          <w:sz w:val="24"/>
          <w:szCs w:val="24"/>
          <w:lang w:val="en-US" w:eastAsia="zh-CN"/>
        </w:rPr>
        <w:t>2</w:t>
      </w:r>
      <w:r>
        <w:rPr>
          <w:rStyle w:val="44"/>
          <w:rFonts w:hint="eastAsia" w:asciiTheme="minorEastAsia" w:hAnsiTheme="minorEastAsia" w:eastAsiaTheme="minorEastAsia"/>
          <w:bCs/>
          <w:color w:val="auto"/>
          <w:sz w:val="24"/>
          <w:szCs w:val="24"/>
        </w:rPr>
        <w:t>年</w:t>
      </w:r>
      <w:r>
        <w:rPr>
          <w:rStyle w:val="44"/>
          <w:rFonts w:hint="eastAsia" w:asciiTheme="minorEastAsia" w:hAnsiTheme="minorEastAsia" w:eastAsiaTheme="minorEastAsia"/>
          <w:bCs/>
          <w:color w:val="auto"/>
          <w:sz w:val="24"/>
          <w:szCs w:val="24"/>
        </w:rPr>
        <w:fldChar w:fldCharType="end"/>
      </w:r>
      <w:r>
        <w:rPr>
          <w:rStyle w:val="44"/>
          <w:rFonts w:hint="eastAsia" w:asciiTheme="minorEastAsia" w:hAnsiTheme="minorEastAsia" w:eastAsiaTheme="minorEastAsia"/>
          <w:bCs/>
          <w:color w:val="auto"/>
          <w:sz w:val="24"/>
          <w:szCs w:val="24"/>
          <w:lang w:val="en-US" w:eastAsia="zh-CN"/>
        </w:rPr>
        <w:t>2</w:t>
      </w:r>
      <w:r>
        <w:rPr>
          <w:rFonts w:hint="eastAsia" w:asciiTheme="minorEastAsia" w:hAnsiTheme="minorEastAsia" w:eastAsiaTheme="minorEastAsia"/>
          <w:bCs/>
          <w:color w:val="auto"/>
          <w:sz w:val="24"/>
          <w:szCs w:val="24"/>
          <w:u w:val="single"/>
        </w:rPr>
        <w:t>月</w:t>
      </w:r>
      <w:r>
        <w:rPr>
          <w:rFonts w:hint="eastAsia" w:asciiTheme="minorEastAsia" w:hAnsiTheme="minorEastAsia" w:eastAsiaTheme="minorEastAsia"/>
          <w:bCs/>
          <w:color w:val="auto"/>
          <w:sz w:val="24"/>
          <w:szCs w:val="24"/>
          <w:u w:val="single"/>
          <w:lang w:val="en-US" w:eastAsia="zh-CN"/>
        </w:rPr>
        <w:t>10</w:t>
      </w:r>
      <w:r>
        <w:rPr>
          <w:rFonts w:hint="eastAsia" w:asciiTheme="minorEastAsia" w:hAnsiTheme="minorEastAsia" w:eastAsiaTheme="minorEastAsia"/>
          <w:bCs/>
          <w:color w:val="auto"/>
          <w:sz w:val="24"/>
          <w:szCs w:val="24"/>
          <w:u w:val="single"/>
        </w:rPr>
        <w:t>日</w:t>
      </w:r>
      <w:r>
        <w:rPr>
          <w:rFonts w:hint="eastAsia" w:asciiTheme="minorEastAsia" w:hAnsiTheme="minorEastAsia" w:eastAsiaTheme="minorEastAsia"/>
          <w:bCs/>
          <w:color w:val="auto"/>
          <w:sz w:val="24"/>
          <w:szCs w:val="24"/>
          <w:u w:val="single"/>
          <w:lang w:val="en-US" w:eastAsia="zh-CN"/>
        </w:rPr>
        <w:t>9</w:t>
      </w:r>
      <w:r>
        <w:rPr>
          <w:rFonts w:hint="eastAsia" w:asciiTheme="minorEastAsia" w:hAnsiTheme="minorEastAsia" w:eastAsiaTheme="minorEastAsia"/>
          <w:bCs/>
          <w:color w:val="auto"/>
          <w:sz w:val="24"/>
          <w:szCs w:val="24"/>
          <w:u w:val="single"/>
        </w:rPr>
        <w:t>点</w:t>
      </w:r>
      <w:r>
        <w:rPr>
          <w:rFonts w:hint="eastAsia" w:asciiTheme="minorEastAsia" w:hAnsiTheme="minorEastAsia" w:eastAsiaTheme="minorEastAsia"/>
          <w:bCs/>
          <w:color w:val="auto"/>
          <w:sz w:val="24"/>
          <w:szCs w:val="24"/>
          <w:u w:val="single"/>
          <w:lang w:val="en-US" w:eastAsia="zh-CN"/>
        </w:rPr>
        <w:t>00</w:t>
      </w:r>
      <w:r>
        <w:rPr>
          <w:rFonts w:hint="eastAsia" w:asciiTheme="minorEastAsia" w:hAnsiTheme="minorEastAsia" w:eastAsiaTheme="minorEastAsia"/>
          <w:bCs/>
          <w:color w:val="auto"/>
          <w:sz w:val="24"/>
          <w:szCs w:val="24"/>
          <w:u w:val="single"/>
        </w:rPr>
        <w:t>分（</w:t>
      </w:r>
      <w:r>
        <w:rPr>
          <w:rFonts w:hint="eastAsia" w:asciiTheme="minorEastAsia" w:hAnsiTheme="minorEastAsia" w:eastAsiaTheme="minorEastAsia"/>
          <w:bCs/>
          <w:color w:val="auto"/>
          <w:sz w:val="24"/>
          <w:szCs w:val="24"/>
        </w:rPr>
        <w:t>北京时间）前递交投标</w:t>
      </w:r>
      <w:r>
        <w:rPr>
          <w:rFonts w:asciiTheme="minorEastAsia" w:hAnsiTheme="minorEastAsia" w:eastAsiaTheme="minorEastAsia"/>
          <w:bCs/>
          <w:color w:val="auto"/>
          <w:sz w:val="24"/>
          <w:szCs w:val="24"/>
        </w:rPr>
        <w:t>文件</w:t>
      </w:r>
      <w:r>
        <w:rPr>
          <w:rFonts w:hint="eastAsia" w:asciiTheme="minorEastAsia" w:hAnsiTheme="minorEastAsia" w:eastAsiaTheme="minorEastAsia"/>
          <w:color w:val="auto"/>
          <w:sz w:val="24"/>
          <w:szCs w:val="24"/>
        </w:rPr>
        <w:t>。</w:t>
      </w:r>
    </w:p>
    <w:p>
      <w:pPr>
        <w:pStyle w:val="3"/>
        <w:tabs>
          <w:tab w:val="left" w:pos="0"/>
          <w:tab w:val="left" w:pos="3165"/>
          <w:tab w:val="center" w:pos="4153"/>
        </w:tabs>
        <w:autoSpaceDE w:val="0"/>
        <w:autoSpaceDN w:val="0"/>
        <w:adjustRightInd w:val="0"/>
        <w:spacing w:line="460" w:lineRule="exact"/>
        <w:jc w:val="left"/>
        <w:rPr>
          <w:rFonts w:hint="eastAsia" w:asciiTheme="minorEastAsia" w:hAnsiTheme="minorEastAsia" w:eastAsiaTheme="minorEastAsia"/>
          <w:color w:val="auto"/>
          <w:sz w:val="24"/>
          <w:szCs w:val="24"/>
        </w:rPr>
      </w:pPr>
      <w:bookmarkStart w:id="6" w:name="_Toc28359079"/>
      <w:bookmarkStart w:id="7" w:name="_Toc35393621"/>
      <w:bookmarkStart w:id="8" w:name="_Toc28359002"/>
      <w:bookmarkStart w:id="9" w:name="_Toc35393790"/>
      <w:bookmarkStart w:id="10" w:name="_Hlk24379207"/>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一、项目基本情况</w:t>
      </w:r>
      <w:bookmarkEnd w:id="6"/>
      <w:bookmarkEnd w:id="7"/>
      <w:bookmarkEnd w:id="8"/>
      <w:bookmarkEnd w:id="9"/>
    </w:p>
    <w:p>
      <w:pPr>
        <w:spacing w:line="46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项目编号：YDZC  2021-FS</w:t>
      </w:r>
      <w:r>
        <w:rPr>
          <w:rFonts w:hint="eastAsia" w:asciiTheme="minorEastAsia" w:hAnsiTheme="minorEastAsia" w:eastAsiaTheme="minorEastAsia"/>
          <w:color w:val="auto"/>
          <w:sz w:val="24"/>
          <w:szCs w:val="24"/>
          <w:lang w:val="en-US" w:eastAsia="zh-CN"/>
        </w:rPr>
        <w:t xml:space="preserve">202-2  </w:t>
      </w:r>
    </w:p>
    <w:p>
      <w:pPr>
        <w:spacing w:line="460" w:lineRule="exact"/>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项目名称：</w:t>
      </w:r>
      <w:r>
        <w:rPr>
          <w:rFonts w:hint="eastAsia" w:asciiTheme="minorEastAsia" w:hAnsiTheme="minorEastAsia" w:eastAsiaTheme="minorEastAsia"/>
          <w:color w:val="auto"/>
          <w:sz w:val="24"/>
          <w:szCs w:val="24"/>
          <w:lang w:eastAsia="zh-CN"/>
        </w:rPr>
        <w:t>碧水嘉苑、馨隆花苑、云溪美地、朗达壹号院等八个小区安装电瓶车禁入电梯预警监测系统（</w:t>
      </w:r>
      <w:r>
        <w:rPr>
          <w:rFonts w:hint="eastAsia" w:asciiTheme="minorEastAsia" w:hAnsiTheme="minorEastAsia" w:eastAsiaTheme="minorEastAsia"/>
          <w:color w:val="auto"/>
          <w:sz w:val="24"/>
          <w:szCs w:val="24"/>
          <w:lang w:val="en-US" w:eastAsia="zh-CN"/>
        </w:rPr>
        <w:t>二次</w:t>
      </w:r>
      <w:r>
        <w:rPr>
          <w:rFonts w:hint="eastAsia" w:asciiTheme="minorEastAsia" w:hAnsiTheme="minorEastAsia" w:eastAsiaTheme="minorEastAsia"/>
          <w:color w:val="auto"/>
          <w:sz w:val="24"/>
          <w:szCs w:val="24"/>
          <w:lang w:eastAsia="zh-CN"/>
        </w:rPr>
        <w:t>）</w:t>
      </w:r>
    </w:p>
    <w:bookmarkEnd w:id="10"/>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预算金额：人民币</w:t>
      </w:r>
      <w:r>
        <w:rPr>
          <w:rFonts w:hint="eastAsia" w:asciiTheme="minorEastAsia" w:hAnsiTheme="minorEastAsia" w:eastAsiaTheme="minorEastAsia"/>
          <w:color w:val="auto"/>
          <w:sz w:val="24"/>
          <w:szCs w:val="24"/>
          <w:lang w:val="en-US" w:eastAsia="zh-CN"/>
        </w:rPr>
        <w:t>123.10</w:t>
      </w:r>
      <w:r>
        <w:rPr>
          <w:rFonts w:hint="eastAsia" w:asciiTheme="minorEastAsia" w:hAnsiTheme="minorEastAsia" w:eastAsiaTheme="minorEastAsia"/>
          <w:color w:val="auto"/>
          <w:sz w:val="24"/>
          <w:szCs w:val="24"/>
        </w:rPr>
        <w:t>万元</w:t>
      </w:r>
      <w:bookmarkStart w:id="166" w:name="_GoBack"/>
      <w:bookmarkEnd w:id="166"/>
    </w:p>
    <w:p>
      <w:pPr>
        <w:spacing w:line="460" w:lineRule="exact"/>
        <w:ind w:firstLine="480" w:firstLineChars="20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采购需求：详见招标文件采购需求部分</w:t>
      </w:r>
    </w:p>
    <w:p>
      <w:pPr>
        <w:spacing w:line="460" w:lineRule="exact"/>
        <w:ind w:firstLine="480" w:firstLineChars="20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合同履行期限：</w:t>
      </w:r>
      <w:r>
        <w:rPr>
          <w:rFonts w:hint="eastAsia" w:asciiTheme="minorEastAsia" w:hAnsiTheme="minorEastAsia" w:eastAsiaTheme="minorEastAsia"/>
          <w:color w:val="auto"/>
          <w:sz w:val="24"/>
          <w:szCs w:val="24"/>
          <w:lang w:val="en-US" w:eastAsia="zh-CN"/>
        </w:rPr>
        <w:t>合</w:t>
      </w:r>
      <w:r>
        <w:rPr>
          <w:rFonts w:hint="eastAsia" w:ascii="宋体" w:hAnsi="宋体"/>
          <w:bCs/>
          <w:color w:val="000000" w:themeColor="text1"/>
          <w:sz w:val="24"/>
          <w:szCs w:val="24"/>
          <w14:textFill>
            <w14:solidFill>
              <w14:schemeClr w14:val="tx1"/>
            </w14:solidFill>
          </w14:textFill>
        </w:rPr>
        <w:t>同签订后</w:t>
      </w:r>
      <w:r>
        <w:rPr>
          <w:rFonts w:hint="eastAsia" w:ascii="宋体" w:hAnsi="宋体"/>
          <w:bCs/>
          <w:color w:val="000000" w:themeColor="text1"/>
          <w:sz w:val="24"/>
          <w:szCs w:val="24"/>
          <w:lang w:val="en-US" w:eastAsia="zh-CN"/>
          <w14:textFill>
            <w14:solidFill>
              <w14:schemeClr w14:val="tx1"/>
            </w14:solidFill>
          </w14:textFill>
        </w:rPr>
        <w:t>20</w:t>
      </w:r>
      <w:r>
        <w:rPr>
          <w:rFonts w:hint="eastAsia" w:ascii="宋体" w:hAnsi="宋体"/>
          <w:bCs/>
          <w:color w:val="000000" w:themeColor="text1"/>
          <w:sz w:val="24"/>
          <w:szCs w:val="24"/>
          <w14:textFill>
            <w14:solidFill>
              <w14:schemeClr w14:val="tx1"/>
            </w14:solidFill>
          </w14:textFill>
        </w:rPr>
        <w:t>日历天内完成全部设备的供货到场，安装、调试、验收合格后交付甲方使用。</w:t>
      </w:r>
    </w:p>
    <w:p>
      <w:pPr>
        <w:keepLines w:val="0"/>
        <w:pageBreakBefore w:val="0"/>
        <w:widowControl w:val="0"/>
        <w:kinsoku/>
        <w:wordWrap/>
        <w:overflowPunct/>
        <w:topLinePunct w:val="0"/>
        <w:bidi w:val="0"/>
        <w:snapToGrid/>
        <w:spacing w:line="540" w:lineRule="exact"/>
        <w:ind w:firstLine="480" w:firstLineChars="200"/>
        <w:textAlignment w:val="auto"/>
        <w:rPr>
          <w:rFonts w:hint="eastAsia" w:ascii="宋体" w:hAnsi="宋体" w:cs="宋体"/>
          <w:sz w:val="24"/>
          <w:szCs w:val="24"/>
        </w:rPr>
      </w:pPr>
      <w:r>
        <w:rPr>
          <w:rFonts w:hint="eastAsia" w:ascii="宋体" w:hAnsi="宋体" w:cs="宋体"/>
          <w:sz w:val="24"/>
          <w:szCs w:val="24"/>
        </w:rPr>
        <w:t>本项目</w:t>
      </w:r>
      <w:r>
        <w:rPr>
          <w:rFonts w:hint="eastAsia" w:ascii="宋体" w:hAnsi="宋体" w:cs="宋体"/>
          <w:sz w:val="24"/>
          <w:szCs w:val="24"/>
          <w:lang w:eastAsia="zh-CN"/>
        </w:rPr>
        <w:t>不</w:t>
      </w:r>
      <w:r>
        <w:rPr>
          <w:rFonts w:hint="eastAsia" w:ascii="宋体" w:hAnsi="宋体" w:cs="宋体"/>
          <w:sz w:val="24"/>
          <w:szCs w:val="24"/>
        </w:rPr>
        <w:t>接受进口产品投标。</w:t>
      </w:r>
    </w:p>
    <w:p>
      <w:pPr>
        <w:spacing w:line="460" w:lineRule="exact"/>
        <w:ind w:firstLine="480" w:firstLineChars="200"/>
        <w:rPr>
          <w:rFonts w:hint="eastAsia" w:asciiTheme="minorEastAsia" w:hAnsiTheme="minorEastAsia" w:eastAsiaTheme="minorEastAsia"/>
          <w:color w:val="auto"/>
          <w:sz w:val="24"/>
          <w:szCs w:val="24"/>
        </w:rPr>
      </w:pPr>
      <w:r>
        <w:rPr>
          <w:rFonts w:hint="eastAsia" w:ascii="宋体" w:hAnsi="宋体" w:cs="宋体"/>
          <w:sz w:val="24"/>
          <w:szCs w:val="24"/>
        </w:rPr>
        <w:t>本项目不接受联合体投标。</w:t>
      </w:r>
      <w:bookmarkStart w:id="11" w:name="_Toc35393622"/>
      <w:bookmarkStart w:id="12" w:name="_Toc35393791"/>
      <w:bookmarkStart w:id="13" w:name="_Toc28359080"/>
      <w:bookmarkStart w:id="14" w:name="_Toc28359003"/>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二、申请人的资格要求：</w:t>
      </w:r>
      <w:bookmarkEnd w:id="11"/>
      <w:bookmarkEnd w:id="12"/>
      <w:bookmarkEnd w:id="13"/>
      <w:bookmarkEnd w:id="14"/>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1.满足《中华人民共和国政府采购法》第二十二条规定，并提供下列材料；</w:t>
      </w:r>
    </w:p>
    <w:p>
      <w:pPr>
        <w:spacing w:line="460" w:lineRule="exact"/>
        <w:ind w:firstLine="600" w:firstLineChars="2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法人或者其他组织的营业执照等证明文件，自然人的身份证明；</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　　</w:t>
      </w:r>
      <w:r>
        <w:rPr>
          <w:rFonts w:hint="eastAsia" w:asciiTheme="minorEastAsia" w:hAnsiTheme="minorEastAsia" w:eastAsiaTheme="minorEastAsia"/>
          <w:color w:val="auto"/>
          <w:sz w:val="24"/>
          <w:szCs w:val="24"/>
        </w:rPr>
        <w:t xml:space="preserve"> (2)上一年度的</w:t>
      </w:r>
      <w:r>
        <w:rPr>
          <w:rFonts w:asciiTheme="minorEastAsia" w:hAnsiTheme="minorEastAsia" w:eastAsiaTheme="minorEastAsia"/>
          <w:color w:val="auto"/>
          <w:sz w:val="24"/>
          <w:szCs w:val="24"/>
        </w:rPr>
        <w:t>财务</w:t>
      </w:r>
      <w:r>
        <w:rPr>
          <w:rFonts w:hint="eastAsia" w:asciiTheme="minorEastAsia" w:hAnsiTheme="minorEastAsia" w:eastAsiaTheme="minorEastAsia"/>
          <w:color w:val="auto"/>
          <w:sz w:val="24"/>
          <w:szCs w:val="24"/>
        </w:rPr>
        <w:t>报表（成立不满一年不需提供）；</w:t>
      </w:r>
    </w:p>
    <w:p>
      <w:pPr>
        <w:spacing w:line="460" w:lineRule="exact"/>
        <w:ind w:firstLine="600" w:firstLineChars="2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依法缴纳税收和社会保障资金的相关材料；</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　　</w:t>
      </w:r>
      <w:r>
        <w:rPr>
          <w:rFonts w:hint="eastAsia" w:asciiTheme="minorEastAsia" w:hAnsiTheme="minorEastAsia" w:eastAsiaTheme="minorEastAsia"/>
          <w:color w:val="auto"/>
          <w:sz w:val="24"/>
          <w:szCs w:val="24"/>
        </w:rPr>
        <w:t xml:space="preserve"> (4)具备履行合同所必需的设备和专业技术能力的书面声明</w:t>
      </w:r>
      <w:r>
        <w:rPr>
          <w:rFonts w:asciiTheme="minorEastAsia" w:hAnsiTheme="minorEastAsia" w:eastAsiaTheme="minorEastAsia"/>
          <w:color w:val="auto"/>
          <w:sz w:val="24"/>
          <w:szCs w:val="24"/>
        </w:rPr>
        <w:t>；</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　　</w:t>
      </w:r>
      <w:r>
        <w:rPr>
          <w:rFonts w:hint="eastAsia" w:asciiTheme="minorEastAsia" w:hAnsiTheme="minorEastAsia" w:eastAsiaTheme="minorEastAsia"/>
          <w:color w:val="auto"/>
          <w:sz w:val="24"/>
          <w:szCs w:val="24"/>
        </w:rPr>
        <w:t xml:space="preserve"> (5)</w:t>
      </w:r>
      <w:r>
        <w:rPr>
          <w:rFonts w:asciiTheme="minorEastAsia" w:hAnsiTheme="minorEastAsia" w:eastAsiaTheme="minorEastAsia"/>
          <w:color w:val="auto"/>
          <w:sz w:val="24"/>
          <w:szCs w:val="24"/>
        </w:rPr>
        <w:t>参加政府采购活动前3年内在经营活动中没有重大违法记录的书面声明；</w:t>
      </w:r>
    </w:p>
    <w:p>
      <w:pPr>
        <w:spacing w:line="460" w:lineRule="exact"/>
        <w:ind w:firstLine="480" w:firstLineChars="200"/>
        <w:rPr>
          <w:rFonts w:asciiTheme="minorEastAsia" w:hAnsiTheme="minorEastAsia" w:eastAsiaTheme="minorEastAsia"/>
          <w:color w:val="auto"/>
          <w:sz w:val="24"/>
          <w:szCs w:val="24"/>
        </w:rPr>
      </w:pPr>
      <w:bookmarkStart w:id="15" w:name="_Toc28359004"/>
      <w:bookmarkStart w:id="16" w:name="_Toc28359081"/>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.落实政府采购政策需满足的资格要求：/。</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3.本项目的特定资格要求：</w:t>
      </w:r>
    </w:p>
    <w:p>
      <w:pPr>
        <w:pStyle w:val="2"/>
        <w:spacing w:line="460" w:lineRule="exact"/>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（1）未被“信用中国”网站（www.creditchina.gov.cn）列入失信被执行人、重大税收违法案件当事人名单、政府采购严重失信行为记录名单。</w:t>
      </w:r>
    </w:p>
    <w:p>
      <w:pPr>
        <w:spacing w:line="460" w:lineRule="exact"/>
        <w:ind w:firstLine="54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）单位负责人为同一人或者存在直接控股、管理关系的不同供应商，不得参加同一合同项下的政府采购活动。</w:t>
      </w:r>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auto"/>
          <w:sz w:val="24"/>
          <w:szCs w:val="24"/>
        </w:rPr>
      </w:pPr>
      <w:bookmarkStart w:id="17" w:name="_Toc35393792"/>
      <w:bookmarkStart w:id="18" w:name="_Toc35393623"/>
      <w:r>
        <w:rPr>
          <w:rFonts w:hint="eastAsia" w:asciiTheme="minorEastAsia" w:hAnsiTheme="minorEastAsia" w:eastAsiaTheme="minorEastAsia"/>
          <w:color w:val="auto"/>
          <w:sz w:val="24"/>
          <w:szCs w:val="24"/>
        </w:rPr>
        <w:t>三、获取招标文件</w:t>
      </w:r>
      <w:bookmarkEnd w:id="15"/>
      <w:bookmarkEnd w:id="16"/>
      <w:bookmarkEnd w:id="17"/>
      <w:bookmarkEnd w:id="18"/>
    </w:p>
    <w:p>
      <w:pPr>
        <w:spacing w:line="460" w:lineRule="exact"/>
        <w:ind w:firstLine="54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时间：自公告之日起至投标截止时间前1日</w:t>
      </w:r>
    </w:p>
    <w:p>
      <w:pPr>
        <w:spacing w:line="460" w:lineRule="exact"/>
        <w:ind w:firstLine="54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地点：盐城市政府采购网    盐城市盐都区人民政府网</w:t>
      </w:r>
    </w:p>
    <w:p>
      <w:pPr>
        <w:spacing w:line="460" w:lineRule="exact"/>
        <w:ind w:firstLine="54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方式：符合资格要求的投标人可自行下载采购文件，采购文件见盐城市政府采购网、盐城市盐都区人民政府网本公告附件。</w:t>
      </w:r>
    </w:p>
    <w:p>
      <w:pPr>
        <w:spacing w:line="460" w:lineRule="exact"/>
        <w:ind w:firstLine="54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售价：免费</w:t>
      </w:r>
      <w:bookmarkStart w:id="19" w:name="_Toc28359082"/>
      <w:bookmarkStart w:id="20" w:name="_Toc28359005"/>
      <w:bookmarkStart w:id="21" w:name="_Toc35393793"/>
      <w:bookmarkStart w:id="22" w:name="_Toc35393624"/>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四、提交投标文件</w:t>
      </w:r>
      <w:bookmarkEnd w:id="19"/>
      <w:bookmarkEnd w:id="20"/>
      <w:r>
        <w:rPr>
          <w:rFonts w:hint="eastAsia" w:asciiTheme="minorEastAsia" w:hAnsiTheme="minorEastAsia" w:eastAsiaTheme="minorEastAsia"/>
          <w:color w:val="auto"/>
          <w:sz w:val="24"/>
          <w:szCs w:val="24"/>
        </w:rPr>
        <w:t>截止时间、开标时间和地点</w:t>
      </w:r>
      <w:bookmarkEnd w:id="21"/>
      <w:bookmarkEnd w:id="22"/>
    </w:p>
    <w:p>
      <w:pPr>
        <w:spacing w:line="460" w:lineRule="exact"/>
        <w:ind w:firstLine="480" w:firstLineChars="200"/>
        <w:rPr>
          <w:rFonts w:asciiTheme="minorEastAsia" w:hAnsiTheme="minorEastAsia" w:eastAsiaTheme="minorEastAsia"/>
          <w:bCs/>
          <w:color w:val="auto"/>
          <w:sz w:val="24"/>
          <w:szCs w:val="24"/>
          <w:u w:val="single"/>
        </w:rPr>
      </w:pPr>
      <w:r>
        <w:rPr>
          <w:rFonts w:hint="eastAsia" w:asciiTheme="minorEastAsia" w:hAnsiTheme="minorEastAsia" w:eastAsiaTheme="minorEastAsia"/>
          <w:bCs/>
          <w:color w:val="auto"/>
          <w:sz w:val="24"/>
          <w:szCs w:val="24"/>
          <w:u w:val="single"/>
        </w:rPr>
        <w:t>202</w:t>
      </w:r>
      <w:r>
        <w:rPr>
          <w:rFonts w:hint="eastAsia" w:asciiTheme="minorEastAsia" w:hAnsiTheme="minorEastAsia" w:eastAsiaTheme="minorEastAsia"/>
          <w:bCs/>
          <w:color w:val="auto"/>
          <w:sz w:val="24"/>
          <w:szCs w:val="24"/>
          <w:u w:val="single"/>
          <w:lang w:val="en-US" w:eastAsia="zh-CN"/>
        </w:rPr>
        <w:t>2</w:t>
      </w:r>
      <w:r>
        <w:rPr>
          <w:rFonts w:hint="eastAsia" w:asciiTheme="minorEastAsia" w:hAnsiTheme="minorEastAsia" w:eastAsiaTheme="minorEastAsia"/>
          <w:bCs/>
          <w:color w:val="auto"/>
          <w:sz w:val="24"/>
          <w:szCs w:val="24"/>
          <w:u w:val="single"/>
        </w:rPr>
        <w:t>年</w:t>
      </w:r>
      <w:r>
        <w:rPr>
          <w:rFonts w:hint="eastAsia" w:asciiTheme="minorEastAsia" w:hAnsiTheme="minorEastAsia" w:eastAsiaTheme="minorEastAsia"/>
          <w:bCs/>
          <w:color w:val="auto"/>
          <w:sz w:val="24"/>
          <w:szCs w:val="24"/>
          <w:u w:val="single"/>
          <w:lang w:val="en-US" w:eastAsia="zh-CN"/>
        </w:rPr>
        <w:t>2</w:t>
      </w:r>
      <w:r>
        <w:rPr>
          <w:rFonts w:hint="eastAsia" w:asciiTheme="minorEastAsia" w:hAnsiTheme="minorEastAsia" w:eastAsiaTheme="minorEastAsia"/>
          <w:bCs/>
          <w:color w:val="auto"/>
          <w:sz w:val="24"/>
          <w:szCs w:val="24"/>
          <w:u w:val="single"/>
        </w:rPr>
        <w:t>月</w:t>
      </w:r>
      <w:r>
        <w:rPr>
          <w:rFonts w:hint="eastAsia" w:asciiTheme="minorEastAsia" w:hAnsiTheme="minorEastAsia" w:eastAsiaTheme="minorEastAsia"/>
          <w:bCs/>
          <w:color w:val="auto"/>
          <w:sz w:val="24"/>
          <w:szCs w:val="24"/>
          <w:u w:val="single"/>
          <w:lang w:val="en-US" w:eastAsia="zh-CN"/>
        </w:rPr>
        <w:t>10</w:t>
      </w:r>
      <w:r>
        <w:rPr>
          <w:rFonts w:hint="eastAsia" w:asciiTheme="minorEastAsia" w:hAnsiTheme="minorEastAsia" w:eastAsiaTheme="minorEastAsia"/>
          <w:bCs/>
          <w:color w:val="auto"/>
          <w:sz w:val="24"/>
          <w:szCs w:val="24"/>
          <w:u w:val="single"/>
        </w:rPr>
        <w:t>日</w:t>
      </w:r>
      <w:r>
        <w:rPr>
          <w:rFonts w:hint="eastAsia" w:asciiTheme="minorEastAsia" w:hAnsiTheme="minorEastAsia" w:eastAsiaTheme="minorEastAsia"/>
          <w:bCs/>
          <w:color w:val="auto"/>
          <w:sz w:val="24"/>
          <w:szCs w:val="24"/>
          <w:u w:val="single"/>
          <w:lang w:val="en-US" w:eastAsia="zh-CN"/>
        </w:rPr>
        <w:t>9</w:t>
      </w:r>
      <w:r>
        <w:rPr>
          <w:rFonts w:hint="eastAsia" w:asciiTheme="minorEastAsia" w:hAnsiTheme="minorEastAsia" w:eastAsiaTheme="minorEastAsia"/>
          <w:bCs/>
          <w:color w:val="auto"/>
          <w:sz w:val="24"/>
          <w:szCs w:val="24"/>
          <w:u w:val="single"/>
        </w:rPr>
        <w:t>点</w:t>
      </w:r>
      <w:r>
        <w:rPr>
          <w:rFonts w:hint="eastAsia" w:asciiTheme="minorEastAsia" w:hAnsiTheme="minorEastAsia" w:eastAsiaTheme="minorEastAsia"/>
          <w:bCs/>
          <w:color w:val="auto"/>
          <w:sz w:val="24"/>
          <w:szCs w:val="24"/>
          <w:u w:val="single"/>
          <w:lang w:val="en-US" w:eastAsia="zh-CN"/>
        </w:rPr>
        <w:t>00</w:t>
      </w:r>
      <w:r>
        <w:rPr>
          <w:rFonts w:hint="eastAsia" w:asciiTheme="minorEastAsia" w:hAnsiTheme="minorEastAsia" w:eastAsiaTheme="minorEastAsia"/>
          <w:bCs/>
          <w:color w:val="auto"/>
          <w:sz w:val="24"/>
          <w:szCs w:val="24"/>
          <w:u w:val="single"/>
        </w:rPr>
        <w:t>分</w:t>
      </w:r>
      <w:r>
        <w:rPr>
          <w:rFonts w:hint="eastAsia" w:asciiTheme="minorEastAsia" w:hAnsiTheme="minorEastAsia" w:eastAsiaTheme="minorEastAsia"/>
          <w:bCs/>
          <w:color w:val="auto"/>
          <w:sz w:val="24"/>
          <w:szCs w:val="24"/>
        </w:rPr>
        <w:t>（北京时间）</w:t>
      </w:r>
    </w:p>
    <w:p>
      <w:pPr>
        <w:spacing w:line="460" w:lineRule="exact"/>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地点：盐城市盐都区</w:t>
      </w:r>
      <w:r>
        <w:rPr>
          <w:rFonts w:hint="eastAsia" w:asciiTheme="minorEastAsia" w:hAnsiTheme="minorEastAsia" w:eastAsiaTheme="minorEastAsia"/>
          <w:color w:val="auto"/>
          <w:sz w:val="24"/>
          <w:szCs w:val="24"/>
          <w:lang w:eastAsia="zh-CN"/>
        </w:rPr>
        <w:t>研创大厦四楼开标室（盐城市盐都区世纪大道1166号研创大厦）</w:t>
      </w:r>
      <w:bookmarkStart w:id="23" w:name="_Toc35393794"/>
      <w:bookmarkStart w:id="24" w:name="_Toc28359084"/>
      <w:bookmarkStart w:id="25" w:name="_Toc28359007"/>
      <w:bookmarkStart w:id="26" w:name="_Toc35393625"/>
    </w:p>
    <w:p>
      <w:pPr>
        <w:pStyle w:val="3"/>
        <w:tabs>
          <w:tab w:val="left" w:pos="0"/>
          <w:tab w:val="left" w:pos="3165"/>
          <w:tab w:val="center" w:pos="4153"/>
        </w:tabs>
        <w:autoSpaceDE w:val="0"/>
        <w:autoSpaceDN w:val="0"/>
        <w:adjustRightInd w:val="0"/>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五、公告期限</w:t>
      </w:r>
      <w:bookmarkEnd w:id="23"/>
      <w:bookmarkEnd w:id="24"/>
      <w:bookmarkEnd w:id="25"/>
      <w:bookmarkEnd w:id="26"/>
    </w:p>
    <w:p>
      <w:pPr>
        <w:spacing w:line="460" w:lineRule="exact"/>
        <w:ind w:firstLine="54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自本公告发布之日起5个工作日。</w:t>
      </w:r>
      <w:bookmarkStart w:id="27" w:name="_Toc35393627"/>
      <w:bookmarkStart w:id="28" w:name="_Toc28359008"/>
      <w:bookmarkStart w:id="29" w:name="_Toc35393796"/>
      <w:bookmarkStart w:id="30" w:name="_Toc28359085"/>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六、其他补充事宜</w:t>
      </w:r>
    </w:p>
    <w:p>
      <w:pPr>
        <w:spacing w:line="460" w:lineRule="exact"/>
        <w:ind w:firstLine="54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投标文件正本一份、副本</w:t>
      </w:r>
      <w:r>
        <w:rPr>
          <w:rFonts w:hint="eastAsia" w:asciiTheme="minorEastAsia" w:hAnsiTheme="minorEastAsia" w:eastAsiaTheme="minorEastAsia"/>
          <w:color w:val="auto"/>
          <w:sz w:val="24"/>
          <w:szCs w:val="24"/>
          <w:lang w:val="en-US" w:eastAsia="zh-CN"/>
        </w:rPr>
        <w:t>肆</w:t>
      </w:r>
      <w:r>
        <w:rPr>
          <w:rFonts w:hint="eastAsia" w:asciiTheme="minorEastAsia" w:hAnsiTheme="minorEastAsia" w:eastAsiaTheme="minorEastAsia"/>
          <w:color w:val="auto"/>
          <w:sz w:val="24"/>
          <w:szCs w:val="24"/>
        </w:rPr>
        <w:t>份。</w:t>
      </w:r>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七、对本次招标提出询问，请按</w:t>
      </w:r>
      <w:r>
        <w:rPr>
          <w:rFonts w:asciiTheme="minorEastAsia" w:hAnsiTheme="minorEastAsia" w:eastAsiaTheme="minorEastAsia"/>
          <w:color w:val="auto"/>
          <w:sz w:val="24"/>
          <w:szCs w:val="24"/>
        </w:rPr>
        <w:t>以下方式</w:t>
      </w:r>
      <w:r>
        <w:rPr>
          <w:rFonts w:hint="eastAsia" w:asciiTheme="minorEastAsia" w:hAnsiTheme="minorEastAsia" w:eastAsiaTheme="minorEastAsia"/>
          <w:color w:val="auto"/>
          <w:sz w:val="24"/>
          <w:szCs w:val="24"/>
        </w:rPr>
        <w:t>联系。</w:t>
      </w:r>
      <w:bookmarkEnd w:id="27"/>
      <w:bookmarkEnd w:id="28"/>
      <w:bookmarkEnd w:id="29"/>
      <w:bookmarkEnd w:id="30"/>
      <w:bookmarkStart w:id="31" w:name="_Toc28359019"/>
      <w:bookmarkStart w:id="32" w:name="_Toc35393637"/>
      <w:bookmarkStart w:id="33" w:name="_Toc28359096"/>
      <w:bookmarkStart w:id="34" w:name="_Toc35393806"/>
    </w:p>
    <w:p>
      <w:pPr>
        <w:pStyle w:val="3"/>
        <w:tabs>
          <w:tab w:val="left" w:pos="0"/>
          <w:tab w:val="left" w:pos="3165"/>
          <w:tab w:val="center" w:pos="4153"/>
        </w:tabs>
        <w:autoSpaceDE w:val="0"/>
        <w:autoSpaceDN w:val="0"/>
        <w:adjustRightInd w:val="0"/>
        <w:spacing w:line="460" w:lineRule="exact"/>
        <w:jc w:val="both"/>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1.采购人信息</w:t>
      </w:r>
      <w:bookmarkEnd w:id="31"/>
      <w:bookmarkEnd w:id="32"/>
      <w:bookmarkEnd w:id="33"/>
      <w:bookmarkEnd w:id="34"/>
    </w:p>
    <w:p>
      <w:pPr>
        <w:spacing w:line="500" w:lineRule="exact"/>
        <w:ind w:left="1079" w:leftChars="371" w:hanging="300" w:hangingChars="125"/>
        <w:jc w:val="lef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名    称：</w:t>
      </w:r>
      <w:r>
        <w:rPr>
          <w:rFonts w:hint="eastAsia" w:asciiTheme="minorEastAsia" w:hAnsiTheme="minorEastAsia" w:eastAsiaTheme="minorEastAsia"/>
          <w:color w:val="auto"/>
          <w:sz w:val="24"/>
          <w:szCs w:val="24"/>
          <w:u w:val="single"/>
          <w:lang w:eastAsia="zh-CN"/>
        </w:rPr>
        <w:t>盐城市盐都区人民政府盐龙街道办事处</w:t>
      </w:r>
    </w:p>
    <w:p>
      <w:pPr>
        <w:spacing w:line="500" w:lineRule="exact"/>
        <w:ind w:left="1079" w:leftChars="371" w:hanging="300" w:hangingChars="12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地    址：</w:t>
      </w:r>
      <w:r>
        <w:rPr>
          <w:rFonts w:hint="eastAsia" w:ascii="宋体" w:hAnsi="宋体" w:eastAsia="宋体" w:cs="宋体"/>
          <w:color w:val="auto"/>
          <w:sz w:val="24"/>
          <w:szCs w:val="24"/>
          <w:u w:val="single"/>
        </w:rPr>
        <w:t>高新区研创大厦4楼</w:t>
      </w:r>
    </w:p>
    <w:p>
      <w:pPr>
        <w:spacing w:line="500" w:lineRule="exact"/>
        <w:ind w:left="1079" w:leftChars="371" w:hanging="300" w:hangingChars="12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联系人：  </w:t>
      </w:r>
      <w:r>
        <w:rPr>
          <w:rFonts w:hint="eastAsia" w:ascii="宋体" w:hAnsi="宋体" w:eastAsia="宋体" w:cs="宋体"/>
          <w:color w:val="auto"/>
          <w:sz w:val="24"/>
          <w:szCs w:val="24"/>
          <w:u w:val="single"/>
        </w:rPr>
        <w:t>季节</w:t>
      </w:r>
    </w:p>
    <w:p>
      <w:pPr>
        <w:spacing w:line="500" w:lineRule="exact"/>
        <w:ind w:left="1079" w:leftChars="371" w:hanging="300" w:hangingChars="12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联系电话：</w:t>
      </w:r>
      <w:bookmarkStart w:id="35" w:name="_Toc28359097"/>
      <w:bookmarkStart w:id="36" w:name="_Toc28359020"/>
      <w:bookmarkStart w:id="37" w:name="_Toc35393638"/>
      <w:bookmarkStart w:id="38" w:name="_Toc35393807"/>
      <w:r>
        <w:rPr>
          <w:rFonts w:hint="eastAsia" w:ascii="宋体" w:hAnsi="宋体" w:eastAsia="宋体" w:cs="宋体"/>
          <w:color w:val="auto"/>
          <w:sz w:val="24"/>
          <w:szCs w:val="24"/>
          <w:u w:val="single"/>
        </w:rPr>
        <w:t>0515-88638506</w:t>
      </w:r>
    </w:p>
    <w:p>
      <w:pPr>
        <w:spacing w:line="500" w:lineRule="exact"/>
        <w:jc w:val="left"/>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2.采购代理机构信息</w:t>
      </w:r>
      <w:bookmarkEnd w:id="35"/>
      <w:bookmarkEnd w:id="36"/>
      <w:bookmarkEnd w:id="37"/>
      <w:bookmarkEnd w:id="38"/>
    </w:p>
    <w:p>
      <w:pPr>
        <w:spacing w:line="500" w:lineRule="exact"/>
        <w:ind w:firstLine="720" w:firstLineChars="3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名    称：</w:t>
      </w:r>
      <w:r>
        <w:rPr>
          <w:rFonts w:hint="eastAsia" w:ascii="宋体" w:hAnsi="宋体" w:eastAsia="宋体" w:cs="宋体"/>
          <w:color w:val="auto"/>
          <w:sz w:val="24"/>
          <w:szCs w:val="24"/>
          <w:u w:val="single"/>
        </w:rPr>
        <w:t>江苏恒业工程管理咨询有限公司</w:t>
      </w:r>
    </w:p>
    <w:p>
      <w:pPr>
        <w:spacing w:line="500" w:lineRule="exact"/>
        <w:ind w:firstLine="720" w:firstLineChars="3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地　　址：</w:t>
      </w:r>
      <w:r>
        <w:rPr>
          <w:rFonts w:hint="eastAsia" w:ascii="宋体" w:hAnsi="宋体" w:eastAsia="宋体" w:cs="宋体"/>
          <w:color w:val="auto"/>
          <w:sz w:val="24"/>
          <w:szCs w:val="24"/>
          <w:u w:val="single"/>
        </w:rPr>
        <w:t>盐都区潘黄街道办事处兆泉商务中心三楼</w:t>
      </w:r>
    </w:p>
    <w:p>
      <w:pPr>
        <w:spacing w:line="500" w:lineRule="exact"/>
        <w:ind w:firstLine="720" w:firstLineChars="300"/>
        <w:jc w:val="left"/>
        <w:rPr>
          <w:rFonts w:hint="eastAsia" w:asciiTheme="minorEastAsia" w:hAnsiTheme="minorEastAsia" w:eastAsiaTheme="minorEastAsia"/>
          <w:color w:val="auto"/>
          <w:sz w:val="24"/>
          <w:szCs w:val="24"/>
          <w:lang w:eastAsia="zh-CN"/>
        </w:rPr>
      </w:pPr>
      <w:bookmarkStart w:id="39" w:name="_Toc28359098"/>
      <w:bookmarkStart w:id="40" w:name="_Toc35393808"/>
      <w:bookmarkStart w:id="41" w:name="_Toc28359021"/>
      <w:bookmarkStart w:id="42" w:name="_Toc35393639"/>
      <w:r>
        <w:rPr>
          <w:rFonts w:hint="eastAsia" w:asciiTheme="minorEastAsia" w:hAnsiTheme="minorEastAsia" w:eastAsiaTheme="minorEastAsia"/>
          <w:color w:val="auto"/>
          <w:sz w:val="24"/>
          <w:szCs w:val="24"/>
        </w:rPr>
        <w:t>联系人：</w:t>
      </w:r>
      <w:r>
        <w:rPr>
          <w:rFonts w:hint="eastAsia" w:ascii="宋体" w:hAnsi="宋体" w:cs="宋体"/>
          <w:color w:val="auto"/>
          <w:sz w:val="24"/>
          <w:szCs w:val="24"/>
          <w:u w:val="single"/>
          <w:lang w:eastAsia="zh-CN"/>
        </w:rPr>
        <w:t>孙元炜</w:t>
      </w:r>
    </w:p>
    <w:p>
      <w:pPr>
        <w:spacing w:line="500" w:lineRule="exact"/>
        <w:ind w:firstLine="720" w:firstLineChars="300"/>
        <w:jc w:val="left"/>
        <w:rPr>
          <w:rFonts w:hint="default"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联系电话：</w:t>
      </w:r>
      <w:r>
        <w:rPr>
          <w:rFonts w:hint="eastAsia" w:ascii="宋体" w:hAnsi="宋体" w:cs="宋体"/>
          <w:color w:val="auto"/>
          <w:sz w:val="24"/>
          <w:szCs w:val="24"/>
          <w:u w:val="single"/>
          <w:lang w:val="en-US" w:eastAsia="zh-CN"/>
        </w:rPr>
        <w:t>15365769669</w:t>
      </w:r>
    </w:p>
    <w:p>
      <w:pPr>
        <w:spacing w:line="500" w:lineRule="exact"/>
        <w:jc w:val="left"/>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3.项目联系</w:t>
      </w:r>
      <w:r>
        <w:rPr>
          <w:rFonts w:cs="宋体" w:asciiTheme="minorEastAsia" w:hAnsiTheme="minorEastAsia" w:eastAsiaTheme="minorEastAsia"/>
          <w:color w:val="auto"/>
          <w:sz w:val="24"/>
          <w:szCs w:val="24"/>
        </w:rPr>
        <w:t>方式</w:t>
      </w:r>
      <w:bookmarkEnd w:id="39"/>
      <w:bookmarkEnd w:id="40"/>
      <w:bookmarkEnd w:id="41"/>
      <w:bookmarkEnd w:id="42"/>
    </w:p>
    <w:p>
      <w:pPr>
        <w:pStyle w:val="23"/>
        <w:spacing w:line="500" w:lineRule="exact"/>
        <w:ind w:firstLine="720" w:firstLineChars="3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项目联系人：</w:t>
      </w:r>
      <w:r>
        <w:rPr>
          <w:rFonts w:hint="eastAsia" w:ascii="宋体" w:hAnsi="宋体" w:eastAsia="宋体" w:cs="宋体"/>
          <w:color w:val="auto"/>
          <w:sz w:val="24"/>
          <w:szCs w:val="24"/>
          <w:u w:val="single"/>
        </w:rPr>
        <w:t>季节</w:t>
      </w:r>
    </w:p>
    <w:p>
      <w:pPr>
        <w:spacing w:line="500" w:lineRule="exact"/>
        <w:ind w:firstLine="720" w:firstLineChars="30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电　　 话：</w:t>
      </w:r>
      <w:bookmarkStart w:id="43" w:name="_Toc120614211"/>
      <w:r>
        <w:rPr>
          <w:rFonts w:hint="eastAsia" w:ascii="宋体" w:hAnsi="宋体" w:eastAsia="宋体" w:cs="宋体"/>
          <w:color w:val="auto"/>
          <w:sz w:val="24"/>
          <w:szCs w:val="24"/>
          <w:u w:val="single"/>
        </w:rPr>
        <w:t>0515-88638506</w:t>
      </w:r>
    </w:p>
    <w:p>
      <w:pPr>
        <w:pStyle w:val="4"/>
        <w:spacing w:line="500" w:lineRule="exact"/>
        <w:rPr>
          <w:rFonts w:hint="eastAsia" w:ascii="宋体" w:hAnsi="宋体" w:eastAsia="宋体"/>
          <w:color w:val="auto"/>
        </w:rPr>
      </w:pPr>
    </w:p>
    <w:p>
      <w:pPr>
        <w:pStyle w:val="4"/>
        <w:spacing w:line="500" w:lineRule="exact"/>
        <w:rPr>
          <w:rFonts w:hint="eastAsia" w:ascii="宋体" w:hAnsi="宋体" w:eastAsia="宋体"/>
          <w:color w:val="auto"/>
        </w:rPr>
      </w:pPr>
    </w:p>
    <w:p>
      <w:pPr>
        <w:pStyle w:val="4"/>
        <w:spacing w:line="500" w:lineRule="exact"/>
        <w:rPr>
          <w:rFonts w:hint="eastAsia" w:ascii="宋体" w:hAnsi="宋体" w:eastAsia="宋体"/>
          <w:color w:val="auto"/>
        </w:rPr>
      </w:pPr>
    </w:p>
    <w:p>
      <w:pPr>
        <w:pStyle w:val="4"/>
        <w:spacing w:line="500" w:lineRule="exact"/>
        <w:rPr>
          <w:rFonts w:hint="eastAsia" w:ascii="宋体" w:hAnsi="宋体" w:eastAsia="宋体"/>
          <w:color w:val="auto"/>
        </w:rPr>
      </w:pPr>
    </w:p>
    <w:p>
      <w:pPr>
        <w:pStyle w:val="4"/>
        <w:spacing w:line="500" w:lineRule="exact"/>
        <w:rPr>
          <w:rFonts w:hint="eastAsia" w:ascii="宋体" w:hAnsi="宋体" w:eastAsia="宋体"/>
          <w:color w:val="auto"/>
        </w:rPr>
      </w:pPr>
    </w:p>
    <w:p>
      <w:pPr>
        <w:pStyle w:val="4"/>
        <w:spacing w:line="500" w:lineRule="exact"/>
        <w:jc w:val="both"/>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ascii="宋体" w:hAnsi="宋体" w:eastAsia="宋体"/>
          <w:color w:val="auto"/>
        </w:rPr>
      </w:pPr>
    </w:p>
    <w:p>
      <w:pPr>
        <w:pStyle w:val="5"/>
        <w:rPr>
          <w:rFonts w:hint="eastAsia"/>
        </w:rPr>
      </w:pPr>
    </w:p>
    <w:p>
      <w:pPr>
        <w:pStyle w:val="4"/>
        <w:spacing w:line="500" w:lineRule="exact"/>
        <w:rPr>
          <w:rFonts w:ascii="宋体" w:hAnsi="宋体" w:eastAsia="宋体"/>
          <w:b w:val="0"/>
          <w:bCs w:val="0"/>
          <w:color w:val="auto"/>
        </w:rPr>
      </w:pPr>
      <w:r>
        <w:rPr>
          <w:rFonts w:hint="eastAsia" w:ascii="宋体" w:hAnsi="宋体" w:eastAsia="宋体"/>
          <w:color w:val="auto"/>
        </w:rPr>
        <w:t>第二章</w:t>
      </w:r>
      <w:bookmarkEnd w:id="1"/>
      <w:bookmarkEnd w:id="2"/>
      <w:bookmarkEnd w:id="3"/>
      <w:bookmarkEnd w:id="4"/>
      <w:bookmarkEnd w:id="5"/>
      <w:bookmarkEnd w:id="43"/>
      <w:bookmarkStart w:id="44" w:name="_Toc16938518"/>
      <w:bookmarkStart w:id="45" w:name="_Toc120614213"/>
      <w:bookmarkStart w:id="46" w:name="_Toc513029202"/>
      <w:bookmarkStart w:id="47" w:name="_Toc20823274"/>
      <w:r>
        <w:rPr>
          <w:rFonts w:hint="eastAsia" w:ascii="宋体" w:hAnsi="宋体" w:eastAsia="宋体"/>
          <w:color w:val="auto"/>
        </w:rPr>
        <w:t xml:space="preserve">  投标人须知</w:t>
      </w:r>
      <w:bookmarkEnd w:id="44"/>
      <w:bookmarkEnd w:id="45"/>
      <w:bookmarkEnd w:id="46"/>
      <w:bookmarkEnd w:id="47"/>
    </w:p>
    <w:p>
      <w:pPr>
        <w:pStyle w:val="6"/>
        <w:spacing w:beforeLines="50" w:afterLines="50" w:line="500" w:lineRule="exact"/>
        <w:ind w:firstLine="373" w:firstLineChars="155"/>
        <w:rPr>
          <w:rFonts w:ascii="宋体"/>
          <w:color w:val="auto"/>
          <w:sz w:val="24"/>
          <w:szCs w:val="24"/>
        </w:rPr>
      </w:pPr>
      <w:bookmarkStart w:id="48" w:name="_Toc513029203"/>
      <w:bookmarkStart w:id="49" w:name="_Toc120614214"/>
      <w:bookmarkStart w:id="50" w:name="_Toc20823275"/>
      <w:bookmarkStart w:id="51" w:name="_Toc16938519"/>
      <w:bookmarkStart w:id="52" w:name="_Toc120614221"/>
      <w:bookmarkStart w:id="53" w:name="_Toc20823314"/>
      <w:bookmarkStart w:id="54" w:name="_Toc16938558"/>
      <w:bookmarkStart w:id="55" w:name="_Toc479757207"/>
      <w:bookmarkStart w:id="56" w:name="_Toc513029242"/>
      <w:r>
        <w:rPr>
          <w:rFonts w:hint="eastAsia" w:ascii="宋体" w:hAnsi="宋体"/>
          <w:color w:val="auto"/>
          <w:sz w:val="24"/>
          <w:szCs w:val="24"/>
        </w:rPr>
        <w:t>一、总则</w:t>
      </w:r>
      <w:bookmarkEnd w:id="48"/>
      <w:bookmarkEnd w:id="49"/>
      <w:bookmarkEnd w:id="50"/>
      <w:bookmarkEnd w:id="51"/>
    </w:p>
    <w:p>
      <w:pPr>
        <w:pStyle w:val="7"/>
        <w:spacing w:before="0" w:after="0" w:line="500" w:lineRule="exact"/>
        <w:ind w:firstLine="361" w:firstLineChars="150"/>
        <w:rPr>
          <w:rFonts w:ascii="宋体" w:hAnsi="宋体" w:eastAsia="宋体"/>
          <w:color w:val="auto"/>
          <w:sz w:val="24"/>
          <w:szCs w:val="24"/>
        </w:rPr>
      </w:pPr>
      <w:bookmarkStart w:id="57" w:name="_Toc458694821"/>
      <w:bookmarkStart w:id="58" w:name="_Toc20823276"/>
      <w:bookmarkStart w:id="59" w:name="_Toc16938520"/>
      <w:bookmarkStart w:id="60" w:name="_Toc513029204"/>
      <w:r>
        <w:rPr>
          <w:rFonts w:ascii="宋体" w:hAnsi="宋体" w:eastAsia="宋体"/>
          <w:color w:val="auto"/>
          <w:sz w:val="24"/>
          <w:szCs w:val="24"/>
        </w:rPr>
        <w:t>1</w:t>
      </w:r>
      <w:bookmarkEnd w:id="57"/>
      <w:r>
        <w:rPr>
          <w:rFonts w:hint="eastAsia" w:ascii="宋体" w:hAnsi="宋体" w:eastAsia="宋体"/>
          <w:color w:val="auto"/>
          <w:sz w:val="24"/>
          <w:szCs w:val="24"/>
        </w:rPr>
        <w:t>、招标方式</w:t>
      </w:r>
      <w:bookmarkEnd w:id="58"/>
      <w:bookmarkEnd w:id="59"/>
      <w:bookmarkEnd w:id="60"/>
    </w:p>
    <w:p>
      <w:pPr>
        <w:spacing w:line="500" w:lineRule="exact"/>
        <w:ind w:firstLine="480" w:firstLineChars="200"/>
        <w:rPr>
          <w:rFonts w:ascii="宋体"/>
          <w:color w:val="auto"/>
          <w:sz w:val="24"/>
          <w:szCs w:val="24"/>
        </w:rPr>
      </w:pPr>
      <w:r>
        <w:rPr>
          <w:rFonts w:ascii="宋体" w:hAnsi="宋体"/>
          <w:color w:val="auto"/>
          <w:sz w:val="24"/>
          <w:szCs w:val="24"/>
        </w:rPr>
        <w:t xml:space="preserve">1.1 </w:t>
      </w:r>
      <w:r>
        <w:rPr>
          <w:rFonts w:hint="eastAsia" w:ascii="宋体" w:hAnsi="宋体"/>
          <w:color w:val="auto"/>
          <w:sz w:val="24"/>
          <w:szCs w:val="24"/>
        </w:rPr>
        <w:t>本次招标采取公开招标方式，本招标文件仅适用于招标公告中所述项目。</w:t>
      </w:r>
    </w:p>
    <w:p>
      <w:pPr>
        <w:pStyle w:val="7"/>
        <w:spacing w:before="0" w:after="0" w:line="500" w:lineRule="exact"/>
        <w:ind w:firstLine="361" w:firstLineChars="150"/>
        <w:rPr>
          <w:rFonts w:ascii="宋体" w:hAnsi="宋体" w:eastAsia="宋体"/>
          <w:color w:val="auto"/>
          <w:sz w:val="24"/>
          <w:szCs w:val="24"/>
        </w:rPr>
      </w:pPr>
      <w:bookmarkStart w:id="61" w:name="_Toc513029205"/>
      <w:bookmarkStart w:id="62" w:name="_Toc20823277"/>
      <w:bookmarkStart w:id="63" w:name="_Toc16938521"/>
      <w:r>
        <w:rPr>
          <w:rFonts w:ascii="宋体" w:hAnsi="宋体" w:eastAsia="宋体"/>
          <w:color w:val="auto"/>
          <w:sz w:val="24"/>
          <w:szCs w:val="24"/>
        </w:rPr>
        <w:t>2</w:t>
      </w:r>
      <w:r>
        <w:rPr>
          <w:rFonts w:hint="eastAsia" w:ascii="宋体" w:hAnsi="宋体" w:eastAsia="宋体"/>
          <w:color w:val="auto"/>
          <w:sz w:val="24"/>
          <w:szCs w:val="24"/>
        </w:rPr>
        <w:t>、合格的投标人</w:t>
      </w:r>
      <w:bookmarkEnd w:id="61"/>
      <w:bookmarkEnd w:id="62"/>
      <w:bookmarkEnd w:id="63"/>
    </w:p>
    <w:p>
      <w:pPr>
        <w:spacing w:line="500" w:lineRule="exact"/>
        <w:ind w:firstLine="480" w:firstLineChars="200"/>
        <w:rPr>
          <w:rFonts w:ascii="宋体"/>
          <w:color w:val="auto"/>
          <w:sz w:val="24"/>
          <w:szCs w:val="24"/>
        </w:rPr>
      </w:pPr>
      <w:r>
        <w:rPr>
          <w:rFonts w:ascii="宋体" w:hAnsi="宋体"/>
          <w:color w:val="auto"/>
          <w:sz w:val="24"/>
          <w:szCs w:val="24"/>
        </w:rPr>
        <w:t xml:space="preserve">2.1 </w:t>
      </w:r>
      <w:r>
        <w:rPr>
          <w:rFonts w:hint="eastAsia" w:ascii="宋体" w:hAnsi="宋体"/>
          <w:color w:val="auto"/>
          <w:sz w:val="24"/>
          <w:szCs w:val="24"/>
        </w:rPr>
        <w:t>满足招标公告中投标人的资格要求的规定。</w:t>
      </w:r>
    </w:p>
    <w:p>
      <w:pPr>
        <w:spacing w:line="500" w:lineRule="exact"/>
        <w:ind w:firstLine="480" w:firstLineChars="200"/>
        <w:rPr>
          <w:rFonts w:ascii="宋体"/>
          <w:color w:val="auto"/>
          <w:sz w:val="24"/>
          <w:szCs w:val="24"/>
        </w:rPr>
      </w:pPr>
      <w:r>
        <w:rPr>
          <w:rFonts w:ascii="宋体" w:hAnsi="宋体"/>
          <w:color w:val="auto"/>
          <w:sz w:val="24"/>
          <w:szCs w:val="24"/>
        </w:rPr>
        <w:t xml:space="preserve">2.2 </w:t>
      </w:r>
      <w:r>
        <w:rPr>
          <w:rFonts w:hint="eastAsia" w:ascii="宋体" w:hAnsi="宋体"/>
          <w:color w:val="auto"/>
          <w:sz w:val="24"/>
          <w:szCs w:val="24"/>
        </w:rPr>
        <w:t>满足本文件实质性条款的规定。</w:t>
      </w:r>
    </w:p>
    <w:p>
      <w:pPr>
        <w:pStyle w:val="7"/>
        <w:spacing w:before="0" w:after="0" w:line="500" w:lineRule="exact"/>
        <w:ind w:firstLine="361" w:firstLineChars="150"/>
        <w:rPr>
          <w:rFonts w:ascii="宋体" w:hAnsi="宋体" w:eastAsia="宋体"/>
          <w:color w:val="auto"/>
          <w:sz w:val="24"/>
          <w:szCs w:val="24"/>
        </w:rPr>
      </w:pPr>
      <w:bookmarkStart w:id="64" w:name="_Toc20823278"/>
      <w:bookmarkStart w:id="65" w:name="_Toc513029206"/>
      <w:bookmarkStart w:id="66" w:name="_Toc16938522"/>
      <w:r>
        <w:rPr>
          <w:rFonts w:ascii="宋体" w:hAnsi="宋体" w:eastAsia="宋体"/>
          <w:color w:val="auto"/>
          <w:sz w:val="24"/>
          <w:szCs w:val="24"/>
        </w:rPr>
        <w:t>3</w:t>
      </w:r>
      <w:r>
        <w:rPr>
          <w:rFonts w:hint="eastAsia" w:ascii="宋体" w:hAnsi="宋体" w:eastAsia="宋体"/>
          <w:color w:val="auto"/>
          <w:sz w:val="24"/>
          <w:szCs w:val="24"/>
        </w:rPr>
        <w:t>、适用法律</w:t>
      </w:r>
      <w:bookmarkEnd w:id="64"/>
      <w:bookmarkEnd w:id="65"/>
      <w:bookmarkEnd w:id="66"/>
    </w:p>
    <w:p>
      <w:pPr>
        <w:spacing w:line="500" w:lineRule="exact"/>
        <w:ind w:firstLine="420" w:firstLineChars="175"/>
        <w:rPr>
          <w:rFonts w:ascii="宋体"/>
          <w:color w:val="auto"/>
          <w:sz w:val="24"/>
          <w:szCs w:val="24"/>
        </w:rPr>
      </w:pPr>
      <w:r>
        <w:rPr>
          <w:rFonts w:ascii="宋体" w:hAnsi="宋体"/>
          <w:color w:val="auto"/>
          <w:sz w:val="24"/>
          <w:szCs w:val="24"/>
        </w:rPr>
        <w:t xml:space="preserve">3.1 </w:t>
      </w:r>
      <w:r>
        <w:rPr>
          <w:rFonts w:hint="eastAsia" w:ascii="宋体" w:hAnsi="宋体"/>
          <w:color w:val="auto"/>
          <w:sz w:val="24"/>
          <w:szCs w:val="24"/>
        </w:rPr>
        <w:t>本次招标及由此产生的合同受中华人民共和国有关的法律法规制约和保护。</w:t>
      </w:r>
    </w:p>
    <w:p>
      <w:pPr>
        <w:pStyle w:val="7"/>
        <w:spacing w:before="0" w:after="0" w:line="500" w:lineRule="exact"/>
        <w:ind w:firstLine="361" w:firstLineChars="150"/>
        <w:rPr>
          <w:rFonts w:ascii="宋体" w:hAnsi="宋体" w:eastAsia="宋体"/>
          <w:color w:val="auto"/>
          <w:sz w:val="24"/>
          <w:szCs w:val="24"/>
        </w:rPr>
      </w:pPr>
      <w:bookmarkStart w:id="67" w:name="_Toc16938523"/>
      <w:bookmarkStart w:id="68" w:name="_Toc462564067"/>
      <w:bookmarkStart w:id="69" w:name="_Toc20823279"/>
      <w:bookmarkStart w:id="70" w:name="_Toc513029207"/>
      <w:r>
        <w:rPr>
          <w:rFonts w:ascii="宋体" w:hAnsi="宋体" w:eastAsia="宋体"/>
          <w:color w:val="auto"/>
          <w:sz w:val="24"/>
          <w:szCs w:val="24"/>
        </w:rPr>
        <w:t>4</w:t>
      </w:r>
      <w:r>
        <w:rPr>
          <w:rFonts w:hint="eastAsia" w:ascii="宋体" w:hAnsi="宋体" w:eastAsia="宋体"/>
          <w:color w:val="auto"/>
          <w:sz w:val="24"/>
          <w:szCs w:val="24"/>
        </w:rPr>
        <w:t>、投标费用</w:t>
      </w:r>
      <w:bookmarkEnd w:id="67"/>
      <w:bookmarkEnd w:id="68"/>
      <w:bookmarkEnd w:id="69"/>
      <w:bookmarkEnd w:id="70"/>
    </w:p>
    <w:p>
      <w:pPr>
        <w:spacing w:line="500" w:lineRule="exact"/>
        <w:ind w:firstLine="480" w:firstLineChars="200"/>
        <w:rPr>
          <w:rFonts w:ascii="宋体"/>
          <w:color w:val="auto"/>
          <w:sz w:val="24"/>
          <w:szCs w:val="24"/>
        </w:rPr>
      </w:pPr>
      <w:r>
        <w:rPr>
          <w:rFonts w:ascii="宋体" w:hAnsi="宋体"/>
          <w:bCs/>
          <w:color w:val="auto"/>
          <w:sz w:val="24"/>
          <w:szCs w:val="24"/>
        </w:rPr>
        <w:t>4.1</w:t>
      </w:r>
      <w:r>
        <w:rPr>
          <w:rFonts w:hint="eastAsia" w:ascii="宋体" w:hAnsi="宋体"/>
          <w:color w:val="auto"/>
          <w:sz w:val="24"/>
          <w:szCs w:val="24"/>
        </w:rPr>
        <w:t>投标人应自行承担所有与参加投标有关的费用，无论投标过程中的做法和结果如何，采购人在任何情况下均无义务和责任承担上述费用。</w:t>
      </w:r>
    </w:p>
    <w:p>
      <w:pPr>
        <w:spacing w:line="500" w:lineRule="exact"/>
        <w:ind w:firstLine="480" w:firstLineChars="200"/>
        <w:rPr>
          <w:rFonts w:ascii="宋体"/>
          <w:color w:val="auto"/>
          <w:sz w:val="24"/>
          <w:szCs w:val="24"/>
        </w:rPr>
      </w:pPr>
      <w:r>
        <w:rPr>
          <w:rFonts w:ascii="宋体" w:hAnsi="宋体"/>
          <w:color w:val="auto"/>
          <w:sz w:val="24"/>
          <w:szCs w:val="24"/>
        </w:rPr>
        <w:t>4.2</w:t>
      </w:r>
      <w:r>
        <w:rPr>
          <w:rFonts w:hint="eastAsia" w:ascii="宋体" w:hAnsi="宋体"/>
          <w:color w:val="auto"/>
          <w:sz w:val="24"/>
          <w:szCs w:val="24"/>
        </w:rPr>
        <w:t>本次招标盐城市盐都区公共资源交易中心和采购人不收取中标服务费。</w:t>
      </w:r>
    </w:p>
    <w:p>
      <w:pPr>
        <w:pStyle w:val="7"/>
        <w:spacing w:before="0" w:after="0" w:line="500" w:lineRule="exact"/>
        <w:ind w:firstLine="482" w:firstLineChars="200"/>
        <w:rPr>
          <w:rFonts w:ascii="宋体" w:hAnsi="宋体" w:eastAsia="宋体"/>
          <w:color w:val="auto"/>
          <w:sz w:val="24"/>
          <w:szCs w:val="24"/>
        </w:rPr>
      </w:pPr>
      <w:r>
        <w:rPr>
          <w:rFonts w:ascii="宋体" w:hAnsi="宋体" w:eastAsia="宋体" w:cs="Times New Roman"/>
          <w:color w:val="auto"/>
          <w:sz w:val="24"/>
          <w:szCs w:val="24"/>
        </w:rPr>
        <w:t>5</w:t>
      </w:r>
      <w:r>
        <w:rPr>
          <w:rFonts w:hint="eastAsia" w:ascii="宋体" w:hAnsi="宋体" w:eastAsia="宋体" w:cs="Times New Roman"/>
          <w:color w:val="auto"/>
          <w:sz w:val="24"/>
          <w:szCs w:val="24"/>
        </w:rPr>
        <w:t>、招</w:t>
      </w:r>
      <w:r>
        <w:rPr>
          <w:rFonts w:hint="eastAsia" w:ascii="宋体" w:hAnsi="宋体" w:eastAsia="宋体"/>
          <w:color w:val="auto"/>
          <w:sz w:val="24"/>
          <w:szCs w:val="24"/>
        </w:rPr>
        <w:t>标文件的约束力</w:t>
      </w:r>
    </w:p>
    <w:p>
      <w:pPr>
        <w:spacing w:line="500" w:lineRule="exact"/>
        <w:ind w:firstLine="480" w:firstLineChars="200"/>
        <w:rPr>
          <w:rFonts w:ascii="宋体"/>
          <w:color w:val="auto"/>
          <w:sz w:val="24"/>
          <w:szCs w:val="24"/>
        </w:rPr>
      </w:pPr>
      <w:r>
        <w:rPr>
          <w:rFonts w:ascii="宋体" w:hAnsi="宋体"/>
          <w:bCs/>
          <w:color w:val="auto"/>
          <w:sz w:val="24"/>
          <w:szCs w:val="24"/>
        </w:rPr>
        <w:t>5.1</w:t>
      </w:r>
      <w:r>
        <w:rPr>
          <w:rFonts w:hint="eastAsia" w:ascii="宋体" w:hAnsi="宋体"/>
          <w:color w:val="auto"/>
          <w:sz w:val="24"/>
          <w:szCs w:val="24"/>
        </w:rPr>
        <w:t>投标人一旦参加本项目采购活动，即被认为接受了本招标文件的规定和约束，并且视为自招标公告期限届满之日起知道或应当知道自身权益是否受到了损害。</w:t>
      </w:r>
    </w:p>
    <w:p>
      <w:pPr>
        <w:pStyle w:val="7"/>
        <w:spacing w:before="0" w:after="0" w:line="500" w:lineRule="exact"/>
        <w:ind w:firstLine="482" w:firstLineChars="200"/>
        <w:rPr>
          <w:rFonts w:ascii="宋体" w:hAnsi="宋体" w:eastAsia="宋体"/>
          <w:color w:val="auto"/>
          <w:sz w:val="24"/>
          <w:szCs w:val="24"/>
        </w:rPr>
      </w:pPr>
      <w:r>
        <w:rPr>
          <w:rFonts w:ascii="宋体" w:hAnsi="宋体" w:eastAsia="宋体"/>
          <w:color w:val="auto"/>
          <w:sz w:val="24"/>
          <w:szCs w:val="24"/>
        </w:rPr>
        <w:t>6</w:t>
      </w:r>
      <w:r>
        <w:rPr>
          <w:rFonts w:hint="eastAsia" w:ascii="宋体" w:hAnsi="宋体" w:eastAsia="宋体"/>
          <w:color w:val="auto"/>
          <w:sz w:val="24"/>
          <w:szCs w:val="24"/>
        </w:rPr>
        <w:t>、招标文件的解释</w:t>
      </w:r>
    </w:p>
    <w:p>
      <w:pPr>
        <w:spacing w:line="500" w:lineRule="exact"/>
        <w:ind w:firstLine="480" w:firstLineChars="200"/>
        <w:rPr>
          <w:rFonts w:ascii="宋体"/>
          <w:bCs/>
          <w:color w:val="auto"/>
          <w:sz w:val="24"/>
          <w:szCs w:val="24"/>
        </w:rPr>
      </w:pPr>
      <w:r>
        <w:rPr>
          <w:rFonts w:ascii="宋体" w:hAnsi="宋体"/>
          <w:bCs/>
          <w:color w:val="auto"/>
          <w:sz w:val="24"/>
          <w:szCs w:val="24"/>
        </w:rPr>
        <w:t xml:space="preserve">6.1 </w:t>
      </w:r>
      <w:r>
        <w:rPr>
          <w:rFonts w:hint="eastAsia" w:ascii="宋体" w:hAnsi="宋体"/>
          <w:bCs/>
          <w:color w:val="auto"/>
          <w:sz w:val="24"/>
          <w:szCs w:val="24"/>
        </w:rPr>
        <w:t>本招标文件由采购人负责解释。</w:t>
      </w:r>
    </w:p>
    <w:p>
      <w:pPr>
        <w:pStyle w:val="6"/>
        <w:spacing w:beforeLines="50" w:afterLines="50" w:line="500" w:lineRule="exact"/>
        <w:ind w:firstLine="241" w:firstLineChars="100"/>
        <w:rPr>
          <w:rFonts w:ascii="宋体"/>
          <w:color w:val="auto"/>
          <w:sz w:val="24"/>
          <w:szCs w:val="24"/>
        </w:rPr>
      </w:pPr>
      <w:bookmarkStart w:id="71" w:name="_Toc513029209"/>
      <w:bookmarkStart w:id="72" w:name="_Toc20823281"/>
      <w:bookmarkStart w:id="73" w:name="_Toc16938525"/>
      <w:bookmarkStart w:id="74" w:name="_Toc120614215"/>
      <w:r>
        <w:rPr>
          <w:rFonts w:hint="eastAsia" w:ascii="宋体" w:hAnsi="宋体"/>
          <w:color w:val="auto"/>
          <w:sz w:val="24"/>
          <w:szCs w:val="24"/>
        </w:rPr>
        <w:t>二、招标文件</w:t>
      </w:r>
      <w:bookmarkEnd w:id="71"/>
      <w:bookmarkEnd w:id="72"/>
      <w:bookmarkEnd w:id="73"/>
      <w:bookmarkEnd w:id="74"/>
    </w:p>
    <w:p>
      <w:pPr>
        <w:pStyle w:val="7"/>
        <w:spacing w:before="0" w:after="0" w:line="500" w:lineRule="exact"/>
        <w:ind w:firstLine="361" w:firstLineChars="150"/>
        <w:rPr>
          <w:rFonts w:ascii="宋体" w:hAnsi="宋体" w:eastAsia="宋体"/>
          <w:color w:val="auto"/>
          <w:sz w:val="24"/>
          <w:szCs w:val="24"/>
        </w:rPr>
      </w:pPr>
      <w:bookmarkStart w:id="75" w:name="_Toc16938526"/>
      <w:bookmarkStart w:id="76" w:name="_Toc513029210"/>
      <w:bookmarkStart w:id="77" w:name="_Toc20823282"/>
      <w:r>
        <w:rPr>
          <w:rFonts w:ascii="宋体" w:hAnsi="宋体" w:eastAsia="宋体"/>
          <w:color w:val="auto"/>
          <w:sz w:val="24"/>
          <w:szCs w:val="24"/>
        </w:rPr>
        <w:t>7</w:t>
      </w:r>
      <w:r>
        <w:rPr>
          <w:rFonts w:hint="eastAsia" w:ascii="宋体" w:hAnsi="宋体" w:eastAsia="宋体"/>
          <w:color w:val="auto"/>
          <w:sz w:val="24"/>
          <w:szCs w:val="24"/>
        </w:rPr>
        <w:t>、招标文件构成</w:t>
      </w:r>
      <w:bookmarkEnd w:id="75"/>
      <w:bookmarkEnd w:id="76"/>
      <w:bookmarkEnd w:id="77"/>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7.1 招标文件有以下部分组成：</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（1）招标公告</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（2）投标人须知</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（3）合同条款及格式</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（4）项目需求</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（5）评标方法与评标标准</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（6）投标文件格式</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请仔细检查招标文件是否齐全，如有缺漏请立即与采购人或采购代理机构联系解决。</w:t>
      </w:r>
    </w:p>
    <w:p>
      <w:pPr>
        <w:spacing w:line="500" w:lineRule="exact"/>
        <w:ind w:firstLine="480" w:firstLineChars="200"/>
        <w:rPr>
          <w:rFonts w:ascii="宋体"/>
          <w:color w:val="auto"/>
          <w:sz w:val="24"/>
          <w:szCs w:val="24"/>
        </w:rPr>
      </w:pPr>
      <w:r>
        <w:rPr>
          <w:rFonts w:hint="eastAsia" w:ascii="宋体" w:hAnsi="宋体"/>
          <w:bCs/>
          <w:color w:val="auto"/>
          <w:sz w:val="24"/>
          <w:szCs w:val="24"/>
        </w:rPr>
        <w:t>7.2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500" w:lineRule="exact"/>
        <w:ind w:firstLine="482" w:firstLineChars="200"/>
        <w:rPr>
          <w:rFonts w:ascii="宋体" w:hAnsi="宋体" w:eastAsia="宋体"/>
          <w:color w:val="auto"/>
          <w:sz w:val="24"/>
          <w:szCs w:val="24"/>
        </w:rPr>
      </w:pPr>
      <w:bookmarkStart w:id="78" w:name="_Toc513029211"/>
      <w:bookmarkStart w:id="79" w:name="_Toc16938527"/>
      <w:bookmarkStart w:id="80" w:name="_Toc20823283"/>
      <w:bookmarkStart w:id="81" w:name="_Toc462564070"/>
      <w:r>
        <w:rPr>
          <w:rFonts w:ascii="宋体" w:hAnsi="宋体" w:eastAsia="宋体"/>
          <w:color w:val="auto"/>
          <w:sz w:val="24"/>
          <w:szCs w:val="24"/>
        </w:rPr>
        <w:t>8</w:t>
      </w:r>
      <w:r>
        <w:rPr>
          <w:rFonts w:hint="eastAsia" w:ascii="宋体" w:hAnsi="宋体" w:eastAsia="宋体"/>
          <w:color w:val="auto"/>
          <w:sz w:val="24"/>
          <w:szCs w:val="24"/>
        </w:rPr>
        <w:t>、招标文件的</w:t>
      </w:r>
      <w:bookmarkEnd w:id="78"/>
      <w:bookmarkEnd w:id="79"/>
      <w:bookmarkEnd w:id="80"/>
      <w:bookmarkEnd w:id="81"/>
      <w:r>
        <w:rPr>
          <w:rFonts w:hint="eastAsia" w:ascii="宋体" w:hAnsi="宋体" w:eastAsia="宋体"/>
          <w:color w:val="auto"/>
          <w:sz w:val="24"/>
          <w:szCs w:val="24"/>
        </w:rPr>
        <w:t>询问、澄清及修改</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8.1 任何要求对招标文件进行询问的投标人，应在投标截止日期10日前按招标公告中的通讯地址，向采购人或者采购代理机构提出。</w:t>
      </w:r>
    </w:p>
    <w:p>
      <w:pPr>
        <w:spacing w:line="500" w:lineRule="exact"/>
        <w:ind w:firstLine="480" w:firstLineChars="200"/>
        <w:rPr>
          <w:rFonts w:ascii="宋体"/>
          <w:color w:val="auto"/>
          <w:sz w:val="24"/>
          <w:szCs w:val="24"/>
        </w:rPr>
      </w:pPr>
      <w:r>
        <w:rPr>
          <w:rFonts w:hint="eastAsia" w:ascii="宋体" w:hAnsi="宋体"/>
          <w:bCs/>
          <w:color w:val="auto"/>
          <w:sz w:val="24"/>
          <w:szCs w:val="24"/>
        </w:rPr>
        <w:t>8.2 澄清或者修改的内容可能影响投标文件编制的，采购人或者采购代理机构应当在投标截止时间至少15日前，以书面形式或在网上发布更正公告通知所有获取招标文件的潜在投标人；不足15日的，采购人或者采购代理机构应当顺延提交投标文件的截止时间。</w:t>
      </w:r>
    </w:p>
    <w:p>
      <w:pPr>
        <w:pStyle w:val="7"/>
        <w:spacing w:before="0" w:after="0" w:line="500" w:lineRule="exact"/>
        <w:ind w:firstLine="482" w:firstLineChars="200"/>
        <w:rPr>
          <w:rFonts w:ascii="宋体" w:hAnsi="宋体" w:eastAsia="宋体"/>
          <w:color w:val="auto"/>
          <w:sz w:val="24"/>
          <w:szCs w:val="24"/>
        </w:rPr>
      </w:pPr>
      <w:bookmarkStart w:id="82" w:name="_Toc16938528"/>
      <w:bookmarkStart w:id="83" w:name="_Toc513029212"/>
      <w:bookmarkStart w:id="84" w:name="_Toc462564071"/>
      <w:bookmarkStart w:id="85" w:name="_Toc20823284"/>
      <w:r>
        <w:rPr>
          <w:rFonts w:ascii="宋体" w:hAnsi="宋体" w:eastAsia="宋体"/>
          <w:color w:val="auto"/>
          <w:sz w:val="24"/>
          <w:szCs w:val="24"/>
        </w:rPr>
        <w:t>9</w:t>
      </w:r>
      <w:r>
        <w:rPr>
          <w:rFonts w:hint="eastAsia" w:ascii="宋体" w:hAnsi="宋体" w:eastAsia="宋体"/>
          <w:color w:val="auto"/>
          <w:sz w:val="24"/>
          <w:szCs w:val="24"/>
        </w:rPr>
        <w:t>、招标文件的修改</w:t>
      </w:r>
      <w:bookmarkEnd w:id="82"/>
      <w:bookmarkEnd w:id="83"/>
      <w:bookmarkEnd w:id="84"/>
      <w:bookmarkEnd w:id="85"/>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9.1 在投标截止时间三天前，采购人或者采购代理机构可以对招标文件进行修改。</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9.2采购人有权依法推迟投标截止日期和开标日期。</w:t>
      </w:r>
    </w:p>
    <w:p>
      <w:pPr>
        <w:spacing w:line="500" w:lineRule="exact"/>
        <w:ind w:firstLine="480" w:firstLineChars="200"/>
        <w:rPr>
          <w:rFonts w:ascii="宋体"/>
          <w:color w:val="auto"/>
          <w:sz w:val="24"/>
          <w:szCs w:val="24"/>
        </w:rPr>
      </w:pPr>
      <w:r>
        <w:rPr>
          <w:rFonts w:hint="eastAsia" w:ascii="宋体" w:hAnsi="宋体"/>
          <w:bCs/>
          <w:color w:val="auto"/>
          <w:sz w:val="24"/>
          <w:szCs w:val="24"/>
        </w:rPr>
        <w:t>9.3招标文件的修改将在“盐城市政府采购网”、“盐城市盐都区人民政府网”公布，补充文件将作为招标文件的组成部分，并对投标人具有约束力。</w:t>
      </w:r>
    </w:p>
    <w:p>
      <w:pPr>
        <w:pStyle w:val="6"/>
        <w:spacing w:beforeLines="50" w:afterLines="50" w:line="500" w:lineRule="exact"/>
        <w:ind w:firstLine="361" w:firstLineChars="150"/>
        <w:rPr>
          <w:rFonts w:ascii="宋体"/>
          <w:color w:val="auto"/>
          <w:sz w:val="24"/>
          <w:szCs w:val="24"/>
        </w:rPr>
      </w:pPr>
      <w:bookmarkStart w:id="86" w:name="_Toc20823285"/>
      <w:bookmarkStart w:id="87" w:name="_Toc462564072"/>
      <w:bookmarkStart w:id="88" w:name="_Toc120614216"/>
      <w:bookmarkStart w:id="89" w:name="_Toc513029213"/>
      <w:bookmarkStart w:id="90" w:name="_Toc16938529"/>
      <w:r>
        <w:rPr>
          <w:rFonts w:hint="eastAsia" w:ascii="宋体" w:hAnsi="宋体"/>
          <w:color w:val="auto"/>
          <w:sz w:val="24"/>
          <w:szCs w:val="24"/>
        </w:rPr>
        <w:t>三、投标文件的编制</w:t>
      </w:r>
      <w:bookmarkEnd w:id="86"/>
      <w:bookmarkEnd w:id="87"/>
      <w:bookmarkEnd w:id="88"/>
      <w:bookmarkEnd w:id="89"/>
      <w:bookmarkEnd w:id="90"/>
    </w:p>
    <w:p>
      <w:pPr>
        <w:pStyle w:val="7"/>
        <w:spacing w:before="0" w:after="0" w:line="500" w:lineRule="exact"/>
        <w:ind w:firstLine="482" w:firstLineChars="200"/>
        <w:rPr>
          <w:rFonts w:ascii="宋体" w:hAnsi="宋体" w:eastAsia="宋体"/>
          <w:color w:val="auto"/>
          <w:sz w:val="24"/>
          <w:szCs w:val="24"/>
        </w:rPr>
      </w:pPr>
      <w:bookmarkStart w:id="91" w:name="_Toc20823286"/>
      <w:bookmarkStart w:id="92" w:name="_Toc16938530"/>
      <w:bookmarkStart w:id="93" w:name="_Toc462564073"/>
      <w:bookmarkStart w:id="94" w:name="_Toc513029214"/>
      <w:r>
        <w:rPr>
          <w:rFonts w:ascii="宋体" w:hAnsi="宋体" w:eastAsia="宋体"/>
          <w:color w:val="auto"/>
          <w:sz w:val="24"/>
          <w:szCs w:val="24"/>
        </w:rPr>
        <w:t>10</w:t>
      </w:r>
      <w:r>
        <w:rPr>
          <w:rFonts w:hint="eastAsia" w:ascii="宋体" w:hAnsi="宋体" w:eastAsia="宋体"/>
          <w:color w:val="auto"/>
          <w:sz w:val="24"/>
          <w:szCs w:val="24"/>
        </w:rPr>
        <w:t>、投标文件的语言及度量衡单位</w:t>
      </w:r>
      <w:bookmarkEnd w:id="91"/>
      <w:bookmarkEnd w:id="92"/>
      <w:bookmarkEnd w:id="93"/>
      <w:bookmarkEnd w:id="94"/>
    </w:p>
    <w:p>
      <w:pPr>
        <w:spacing w:line="500" w:lineRule="exact"/>
        <w:ind w:firstLine="480" w:firstLineChars="200"/>
        <w:rPr>
          <w:rFonts w:hint="eastAsia" w:ascii="宋体" w:hAnsi="宋体"/>
          <w:color w:val="000000"/>
          <w:sz w:val="24"/>
        </w:rPr>
      </w:pPr>
      <w:r>
        <w:rPr>
          <w:rFonts w:hint="eastAsia" w:ascii="宋体" w:hAnsi="宋体"/>
          <w:bCs/>
          <w:color w:val="000000"/>
          <w:sz w:val="24"/>
        </w:rPr>
        <w:t>10.1</w:t>
      </w:r>
      <w:r>
        <w:rPr>
          <w:rFonts w:hint="eastAsia" w:ascii="宋体" w:hAnsi="宋体"/>
          <w:color w:val="000000"/>
          <w:sz w:val="24"/>
        </w:rPr>
        <w:t xml:space="preserve"> 投标人提交的投标文件以及投标人与采购人就有关投标的所有来往通知、函件和文件均应使用</w:t>
      </w:r>
      <w:r>
        <w:rPr>
          <w:rFonts w:hint="eastAsia" w:ascii="宋体" w:hAnsi="宋体"/>
          <w:b/>
          <w:bCs/>
          <w:color w:val="000000"/>
          <w:sz w:val="24"/>
        </w:rPr>
        <w:t>简体中文</w:t>
      </w:r>
      <w:r>
        <w:rPr>
          <w:rFonts w:hint="eastAsia" w:ascii="宋体" w:hAnsi="宋体"/>
          <w:color w:val="000000"/>
          <w:sz w:val="24"/>
        </w:rPr>
        <w:t>。</w:t>
      </w:r>
    </w:p>
    <w:p>
      <w:pPr>
        <w:spacing w:line="500" w:lineRule="exact"/>
        <w:ind w:firstLine="480" w:firstLineChars="200"/>
        <w:rPr>
          <w:rFonts w:ascii="宋体"/>
          <w:color w:val="auto"/>
          <w:sz w:val="24"/>
          <w:szCs w:val="24"/>
        </w:rPr>
      </w:pPr>
      <w:r>
        <w:rPr>
          <w:rFonts w:hint="eastAsia" w:ascii="宋体" w:hAnsi="宋体"/>
          <w:bCs/>
          <w:color w:val="000000"/>
          <w:sz w:val="24"/>
        </w:rPr>
        <w:t>10.2</w:t>
      </w:r>
      <w:r>
        <w:rPr>
          <w:rFonts w:hint="eastAsia" w:ascii="宋体" w:hAnsi="宋体"/>
          <w:color w:val="000000"/>
          <w:sz w:val="24"/>
        </w:rPr>
        <w:t xml:space="preserve"> 除技术性能另有规定外，投标文件所使用的度量衡单位，均须采用国家法定计量单位。</w:t>
      </w:r>
    </w:p>
    <w:p>
      <w:pPr>
        <w:pStyle w:val="7"/>
        <w:spacing w:before="0" w:after="0" w:line="500" w:lineRule="exact"/>
        <w:ind w:firstLine="482" w:firstLineChars="200"/>
        <w:rPr>
          <w:rFonts w:ascii="宋体" w:hAnsi="宋体" w:eastAsia="宋体"/>
          <w:color w:val="auto"/>
          <w:sz w:val="24"/>
          <w:szCs w:val="24"/>
        </w:rPr>
      </w:pPr>
      <w:bookmarkStart w:id="95" w:name="_Toc16938531"/>
      <w:bookmarkStart w:id="96" w:name="_Toc462564074"/>
      <w:bookmarkStart w:id="97" w:name="_Toc513029215"/>
      <w:bookmarkStart w:id="98" w:name="_Toc20823287"/>
      <w:r>
        <w:rPr>
          <w:rFonts w:ascii="宋体" w:hAnsi="宋体" w:eastAsia="宋体"/>
          <w:color w:val="auto"/>
          <w:sz w:val="24"/>
          <w:szCs w:val="24"/>
        </w:rPr>
        <w:t>11</w:t>
      </w:r>
      <w:r>
        <w:rPr>
          <w:rFonts w:hint="eastAsia" w:ascii="宋体" w:hAnsi="宋体" w:eastAsia="宋体"/>
          <w:color w:val="auto"/>
          <w:sz w:val="24"/>
          <w:szCs w:val="24"/>
        </w:rPr>
        <w:t>、投标文件构成</w:t>
      </w:r>
      <w:bookmarkEnd w:id="95"/>
      <w:bookmarkEnd w:id="96"/>
      <w:bookmarkEnd w:id="97"/>
      <w:bookmarkEnd w:id="98"/>
    </w:p>
    <w:p>
      <w:pPr>
        <w:spacing w:line="440" w:lineRule="exact"/>
        <w:ind w:firstLine="480" w:firstLineChars="200"/>
        <w:rPr>
          <w:rFonts w:hint="eastAsia" w:ascii="宋体" w:hAnsi="宋体"/>
          <w:color w:val="000000"/>
          <w:sz w:val="24"/>
        </w:rPr>
      </w:pPr>
      <w:bookmarkStart w:id="99" w:name="_Toc513029219"/>
      <w:bookmarkStart w:id="100" w:name="_Toc14577357"/>
      <w:bookmarkStart w:id="101" w:name="_Toc49090509"/>
      <w:bookmarkStart w:id="102" w:name="_Toc49090507"/>
      <w:bookmarkStart w:id="103" w:name="_Toc14577354"/>
      <w:bookmarkStart w:id="104" w:name="_Toc513029216"/>
      <w:r>
        <w:rPr>
          <w:rFonts w:hint="eastAsia" w:ascii="宋体" w:hAnsi="宋体"/>
          <w:bCs/>
          <w:color w:val="000000"/>
          <w:sz w:val="24"/>
        </w:rPr>
        <w:t>11.1</w:t>
      </w:r>
      <w:r>
        <w:rPr>
          <w:rFonts w:hint="eastAsia" w:ascii="宋体" w:hAnsi="宋体"/>
          <w:color w:val="000000"/>
          <w:sz w:val="24"/>
        </w:rPr>
        <w:t xml:space="preserve"> 投标人编写的投标文件应包括资信证明文件、投标配置与分项报价表、供货一览表、技术参数响应及偏离表、商务条款响应及偏离表、投标函、开标一览表</w:t>
      </w:r>
      <w:r>
        <w:rPr>
          <w:rFonts w:hint="eastAsia" w:ascii="宋体" w:hAnsi="宋体"/>
          <w:color w:val="000000"/>
          <w:sz w:val="24"/>
          <w:lang w:eastAsia="zh-CN"/>
        </w:rPr>
        <w:t>、政府采购事前信用承诺书</w:t>
      </w:r>
      <w:r>
        <w:rPr>
          <w:rFonts w:hint="eastAsia" w:ascii="宋体" w:hAnsi="宋体"/>
          <w:color w:val="000000"/>
          <w:sz w:val="24"/>
        </w:rPr>
        <w:t>等部分；</w:t>
      </w:r>
    </w:p>
    <w:p>
      <w:pPr>
        <w:spacing w:line="500" w:lineRule="exact"/>
        <w:ind w:firstLine="480" w:firstLineChars="200"/>
        <w:rPr>
          <w:rFonts w:hint="eastAsia" w:ascii="宋体" w:hAnsi="宋体"/>
          <w:color w:val="auto"/>
          <w:sz w:val="24"/>
        </w:rPr>
      </w:pPr>
      <w:r>
        <w:rPr>
          <w:rFonts w:hint="eastAsia" w:ascii="宋体" w:hAnsi="宋体"/>
          <w:color w:val="000000"/>
          <w:sz w:val="24"/>
        </w:rPr>
        <w:t>11.2</w:t>
      </w:r>
      <w:r>
        <w:rPr>
          <w:rFonts w:hint="eastAsia" w:ascii="宋体" w:hAnsi="宋体"/>
          <w:b/>
          <w:color w:val="000000"/>
          <w:sz w:val="24"/>
        </w:rPr>
        <w:t xml:space="preserve"> </w:t>
      </w:r>
      <w:r>
        <w:rPr>
          <w:rFonts w:hint="eastAsia" w:ascii="宋体" w:hAnsi="宋体"/>
          <w:color w:val="000000"/>
          <w:sz w:val="24"/>
        </w:rPr>
        <w:t>投标人应将投标文件按顺序装订成册，并编制投标文件资料目录。</w:t>
      </w:r>
    </w:p>
    <w:p>
      <w:pPr>
        <w:pStyle w:val="7"/>
        <w:spacing w:before="0" w:after="0" w:line="500" w:lineRule="exact"/>
        <w:ind w:firstLine="482" w:firstLineChars="200"/>
        <w:rPr>
          <w:rFonts w:ascii="宋体" w:hAnsi="宋体" w:eastAsia="宋体"/>
          <w:color w:val="auto"/>
          <w:sz w:val="24"/>
          <w:szCs w:val="24"/>
        </w:rPr>
      </w:pPr>
      <w:r>
        <w:rPr>
          <w:rFonts w:ascii="宋体" w:hAnsi="宋体" w:eastAsia="宋体"/>
          <w:color w:val="auto"/>
          <w:sz w:val="24"/>
          <w:szCs w:val="24"/>
        </w:rPr>
        <w:t>12</w:t>
      </w:r>
      <w:r>
        <w:rPr>
          <w:rFonts w:hint="eastAsia" w:ascii="宋体" w:hAnsi="宋体" w:eastAsia="宋体"/>
          <w:color w:val="auto"/>
          <w:sz w:val="24"/>
          <w:szCs w:val="24"/>
        </w:rPr>
        <w:t>、证明投标人资格及符合招标文件规定的文件</w:t>
      </w:r>
      <w:bookmarkEnd w:id="99"/>
      <w:bookmarkEnd w:id="100"/>
      <w:bookmarkEnd w:id="101"/>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12.1投标人应按要求提交资格证明文件及符合招标文件规定的文件。</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12.2投标人应提交证明其有资格参加投标和中标后有能力独立履行合同的文件。</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12.3投标人除必须具有履行合同所需提供的货物以及服务的能力外，还必须具备相应的财务、技术方面的能力。</w:t>
      </w:r>
    </w:p>
    <w:p>
      <w:pPr>
        <w:spacing w:line="500" w:lineRule="exact"/>
        <w:rPr>
          <w:rFonts w:hint="eastAsia" w:ascii="宋体" w:hAnsi="宋体"/>
          <w:color w:val="auto"/>
          <w:sz w:val="24"/>
          <w:szCs w:val="24"/>
        </w:rPr>
      </w:pPr>
      <w:r>
        <w:rPr>
          <w:rFonts w:hint="eastAsia" w:ascii="宋体" w:hAnsi="宋体"/>
          <w:color w:val="auto"/>
          <w:sz w:val="24"/>
          <w:szCs w:val="24"/>
        </w:rPr>
        <w:t xml:space="preserve">    12.4投标人应提交根据合同要求提供的证明产品质量合格以及符合招标文件规定的证明文件。</w:t>
      </w:r>
    </w:p>
    <w:p>
      <w:pPr>
        <w:spacing w:line="500" w:lineRule="exact"/>
        <w:rPr>
          <w:rFonts w:ascii="宋体"/>
          <w:color w:val="auto"/>
          <w:sz w:val="24"/>
          <w:szCs w:val="24"/>
        </w:rPr>
      </w:pPr>
      <w:r>
        <w:rPr>
          <w:rFonts w:hint="eastAsia" w:ascii="宋体" w:hAnsi="宋体"/>
          <w:color w:val="auto"/>
          <w:sz w:val="24"/>
          <w:szCs w:val="24"/>
        </w:rPr>
        <w:t xml:space="preserve">    12.5证明投标人所提供货物与招标文件的要求相一致的文件可以是手册、图纸、文字资料和数据。</w:t>
      </w:r>
    </w:p>
    <w:bookmarkEnd w:id="102"/>
    <w:bookmarkEnd w:id="103"/>
    <w:bookmarkEnd w:id="104"/>
    <w:p>
      <w:pPr>
        <w:pStyle w:val="7"/>
        <w:spacing w:before="0" w:after="0" w:line="500" w:lineRule="exact"/>
        <w:ind w:firstLine="482" w:firstLineChars="200"/>
        <w:rPr>
          <w:rFonts w:ascii="宋体" w:hAnsi="宋体" w:eastAsia="宋体"/>
          <w:color w:val="auto"/>
          <w:sz w:val="24"/>
          <w:szCs w:val="24"/>
        </w:rPr>
      </w:pPr>
      <w:bookmarkStart w:id="105" w:name="_Toc14577355"/>
      <w:bookmarkStart w:id="106" w:name="_Toc49090508"/>
      <w:r>
        <w:rPr>
          <w:rFonts w:ascii="宋体" w:hAnsi="宋体" w:eastAsia="宋体"/>
          <w:color w:val="auto"/>
          <w:sz w:val="24"/>
          <w:szCs w:val="24"/>
        </w:rPr>
        <w:t>13</w:t>
      </w:r>
      <w:r>
        <w:rPr>
          <w:rFonts w:hint="eastAsia" w:ascii="宋体" w:hAnsi="宋体" w:eastAsia="宋体"/>
          <w:color w:val="auto"/>
          <w:sz w:val="24"/>
          <w:szCs w:val="24"/>
        </w:rPr>
        <w:t>、</w:t>
      </w:r>
      <w:bookmarkEnd w:id="105"/>
      <w:bookmarkEnd w:id="106"/>
      <w:r>
        <w:rPr>
          <w:rFonts w:hint="eastAsia" w:ascii="宋体" w:hAnsi="宋体" w:eastAsia="宋体"/>
          <w:color w:val="auto"/>
          <w:sz w:val="24"/>
          <w:szCs w:val="24"/>
        </w:rPr>
        <w:t>供货一览表和投标配置与分项报价表</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13.1 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13.2 标的物</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采购人需求的货物供应、安装，调试及有关技术服务等。</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13.3有关费用处理</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招标报价采用总承包方式，</w:t>
      </w:r>
      <w:r>
        <w:rPr>
          <w:rFonts w:hint="eastAsia" w:ascii="宋体" w:hAnsi="宋体"/>
          <w:color w:val="000000" w:themeColor="text1"/>
          <w:sz w:val="24"/>
          <w:szCs w:val="24"/>
          <w14:textFill>
            <w14:solidFill>
              <w14:schemeClr w14:val="tx1"/>
            </w14:solidFill>
          </w14:textFill>
        </w:rPr>
        <w:t>投标人根据现场实际情况、采购人提供的采购清单、自身实力、结合市场行情报价，此报价应包括为完成招标文件、采购清单中确定的所有内容。投标人应充分考虑为完成上述内容所必须的全部设备并进行相关服务所需的所有费用，即主要包括（但不限于）：设备价格【含全套设备（包括主设备、配套设备、配套软件、配套耗材、附件、配件等）、备品备件、专用工具、技术资料等】、直接和间接成本费、材料损耗费、劳务费、垃圾清运费、包装费、运杂费（含运输费）、装卸费、安装调试费、保修费、保险费、配合费、安装费、测试验收费、检测费、技术（含操作、维护等）培训、运行维护及售后服务费、管理费、税金、利润、风险费、成品保护费、不可预见费及其他一切相关费用等所需的全部费用，凡漏项或少计均视为优惠，采购人不另行增加费用。各类风险和政策性调整等风险已包括在投标报价中，最终结算时除合同约定调整外一律不予调整。</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13.4其它费用处理</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招标文件未列明，而投标人认为必需的费用也需列入报价。</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13.5投标货币</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投标文件中的货物单价和总价无特殊规定的采用人民币报价，以元为单位标注。招标文件中另有规定的按规定执行。</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13.6 投标配置与分项报价表上的价格应按下列方式分开填写：</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13.6.1 项目总价：包括买方需求的货物价格、质量保证费用、培训费用及售后服务费用，项目在指定地点、环境交付、安装、调试、验收所需费用和所有相关税金费用及为完成整个项目所产生的其它所有费用。</w:t>
      </w:r>
    </w:p>
    <w:p>
      <w:pPr>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13.6.2项目单价按投标配置及分项报价表中要求填报。</w:t>
      </w:r>
    </w:p>
    <w:p>
      <w:pPr>
        <w:spacing w:line="500" w:lineRule="exact"/>
        <w:ind w:firstLine="482" w:firstLineChars="200"/>
        <w:rPr>
          <w:rFonts w:ascii="宋体"/>
          <w:b/>
          <w:color w:val="auto"/>
          <w:sz w:val="24"/>
          <w:szCs w:val="24"/>
        </w:rPr>
      </w:pPr>
      <w:r>
        <w:rPr>
          <w:rFonts w:ascii="宋体" w:hAnsi="宋体"/>
          <w:b/>
          <w:color w:val="auto"/>
          <w:sz w:val="24"/>
          <w:szCs w:val="24"/>
        </w:rPr>
        <w:t>14</w:t>
      </w:r>
      <w:r>
        <w:rPr>
          <w:rFonts w:hint="eastAsia" w:ascii="宋体" w:hAnsi="宋体"/>
          <w:b/>
          <w:color w:val="auto"/>
          <w:sz w:val="24"/>
          <w:szCs w:val="24"/>
        </w:rPr>
        <w:t>、技术参数响应及偏离表、商务条款响应及偏离表及投标货物说明</w:t>
      </w:r>
    </w:p>
    <w:p>
      <w:pPr>
        <w:autoSpaceDE w:val="0"/>
        <w:autoSpaceDN w:val="0"/>
        <w:adjustRightInd w:val="0"/>
        <w:spacing w:line="500" w:lineRule="exact"/>
        <w:ind w:firstLine="480"/>
        <w:rPr>
          <w:rFonts w:hint="eastAsia" w:ascii="宋体" w:hAnsi="宋体" w:cs="宋体"/>
          <w:bCs/>
          <w:color w:val="auto"/>
          <w:sz w:val="24"/>
          <w:szCs w:val="24"/>
          <w:lang w:val="zh-CN"/>
        </w:rPr>
      </w:pPr>
      <w:r>
        <w:rPr>
          <w:rFonts w:hint="eastAsia" w:ascii="宋体" w:hAnsi="宋体" w:cs="宋体"/>
          <w:bCs/>
          <w:color w:val="auto"/>
          <w:sz w:val="24"/>
          <w:szCs w:val="24"/>
          <w:lang w:val="zh-CN"/>
        </w:rPr>
        <w:t>14.1 对招标文件中的技术与商务条款要求逐项作出响应或偏离，并说明原因；</w:t>
      </w:r>
    </w:p>
    <w:p>
      <w:pPr>
        <w:autoSpaceDE w:val="0"/>
        <w:autoSpaceDN w:val="0"/>
        <w:adjustRightInd w:val="0"/>
        <w:spacing w:line="500" w:lineRule="exact"/>
        <w:ind w:firstLine="480"/>
        <w:rPr>
          <w:rFonts w:hint="eastAsia" w:ascii="宋体" w:hAnsi="宋体" w:cs="宋体"/>
          <w:bCs/>
          <w:color w:val="auto"/>
          <w:sz w:val="24"/>
          <w:szCs w:val="24"/>
          <w:lang w:val="zh-CN"/>
        </w:rPr>
      </w:pPr>
      <w:r>
        <w:rPr>
          <w:rFonts w:hint="eastAsia" w:ascii="宋体" w:hAnsi="宋体" w:cs="宋体"/>
          <w:bCs/>
          <w:color w:val="auto"/>
          <w:sz w:val="24"/>
          <w:szCs w:val="24"/>
          <w:lang w:val="zh-CN"/>
        </w:rPr>
        <w:t>14.2 提供参加本项目类似案例简介；</w:t>
      </w:r>
    </w:p>
    <w:p>
      <w:pPr>
        <w:autoSpaceDE w:val="0"/>
        <w:autoSpaceDN w:val="0"/>
        <w:adjustRightInd w:val="0"/>
        <w:spacing w:line="500" w:lineRule="exact"/>
        <w:ind w:firstLine="480"/>
        <w:rPr>
          <w:rFonts w:hint="eastAsia" w:ascii="宋体" w:hAnsi="宋体" w:cs="宋体"/>
          <w:bCs/>
          <w:color w:val="auto"/>
          <w:sz w:val="24"/>
          <w:szCs w:val="24"/>
          <w:lang w:val="zh-CN"/>
        </w:rPr>
      </w:pPr>
      <w:r>
        <w:rPr>
          <w:rFonts w:hint="eastAsia" w:ascii="宋体" w:hAnsi="宋体" w:cs="宋体"/>
          <w:bCs/>
          <w:color w:val="auto"/>
          <w:sz w:val="24"/>
          <w:szCs w:val="24"/>
          <w:lang w:val="zh-CN"/>
        </w:rPr>
        <w:t>14.3 培训计划；</w:t>
      </w:r>
    </w:p>
    <w:p>
      <w:pPr>
        <w:autoSpaceDE w:val="0"/>
        <w:autoSpaceDN w:val="0"/>
        <w:adjustRightInd w:val="0"/>
        <w:spacing w:line="500" w:lineRule="exact"/>
        <w:ind w:firstLine="480"/>
        <w:rPr>
          <w:rFonts w:hint="eastAsia" w:ascii="宋体" w:hAnsi="宋体" w:cs="宋体"/>
          <w:bCs/>
          <w:color w:val="auto"/>
          <w:sz w:val="24"/>
          <w:szCs w:val="24"/>
          <w:lang w:val="zh-CN"/>
        </w:rPr>
      </w:pPr>
      <w:r>
        <w:rPr>
          <w:rFonts w:hint="eastAsia" w:ascii="宋体" w:hAnsi="宋体" w:cs="宋体"/>
          <w:bCs/>
          <w:color w:val="auto"/>
          <w:sz w:val="24"/>
          <w:szCs w:val="24"/>
          <w:lang w:val="zh-CN"/>
        </w:rPr>
        <w:t>14.4 详细阐述所投货物的主要组成部分、功能设计、实现思路及关键技术；</w:t>
      </w:r>
    </w:p>
    <w:p>
      <w:pPr>
        <w:autoSpaceDE w:val="0"/>
        <w:autoSpaceDN w:val="0"/>
        <w:adjustRightInd w:val="0"/>
        <w:spacing w:line="500" w:lineRule="exact"/>
        <w:ind w:firstLine="480"/>
        <w:rPr>
          <w:rFonts w:ascii="宋体" w:cs="宋体"/>
          <w:color w:val="auto"/>
          <w:sz w:val="24"/>
          <w:szCs w:val="24"/>
          <w:lang w:val="zh-CN"/>
        </w:rPr>
      </w:pPr>
      <w:r>
        <w:rPr>
          <w:rFonts w:hint="eastAsia" w:ascii="宋体" w:hAnsi="宋体" w:cs="宋体"/>
          <w:bCs/>
          <w:color w:val="auto"/>
          <w:sz w:val="24"/>
          <w:szCs w:val="24"/>
          <w:lang w:val="zh-CN"/>
        </w:rPr>
        <w:t>14.5 投标人认为需要的其他技术文件或说明。</w:t>
      </w:r>
    </w:p>
    <w:p>
      <w:pPr>
        <w:spacing w:line="500" w:lineRule="exact"/>
        <w:ind w:firstLine="482" w:firstLineChars="200"/>
        <w:rPr>
          <w:rFonts w:ascii="宋体"/>
          <w:b/>
          <w:bCs/>
          <w:color w:val="auto"/>
          <w:sz w:val="24"/>
          <w:szCs w:val="24"/>
        </w:rPr>
      </w:pPr>
      <w:r>
        <w:rPr>
          <w:rFonts w:ascii="宋体" w:hAnsi="宋体"/>
          <w:b/>
          <w:color w:val="auto"/>
          <w:sz w:val="24"/>
          <w:szCs w:val="24"/>
        </w:rPr>
        <w:t>15</w:t>
      </w:r>
      <w:r>
        <w:rPr>
          <w:rFonts w:hint="eastAsia" w:ascii="宋体" w:hAnsi="宋体"/>
          <w:b/>
          <w:color w:val="auto"/>
          <w:sz w:val="24"/>
          <w:szCs w:val="24"/>
        </w:rPr>
        <w:t>、服务承诺及售后服务机构、人员的情况介绍</w:t>
      </w:r>
    </w:p>
    <w:p>
      <w:pPr>
        <w:tabs>
          <w:tab w:val="left" w:pos="1035"/>
        </w:tabs>
        <w:autoSpaceDE w:val="0"/>
        <w:autoSpaceDN w:val="0"/>
        <w:adjustRightInd w:val="0"/>
        <w:spacing w:line="500" w:lineRule="exact"/>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15.1投标人的服务承诺应按不低于招标文件中商务要求的标准。</w:t>
      </w:r>
    </w:p>
    <w:p>
      <w:pPr>
        <w:tabs>
          <w:tab w:val="left" w:pos="1035"/>
        </w:tabs>
        <w:autoSpaceDE w:val="0"/>
        <w:autoSpaceDN w:val="0"/>
        <w:adjustRightInd w:val="0"/>
        <w:spacing w:line="500" w:lineRule="exact"/>
        <w:ind w:firstLine="480" w:firstLineChars="200"/>
        <w:rPr>
          <w:rFonts w:ascii="宋体" w:cs="宋体"/>
          <w:color w:val="auto"/>
          <w:sz w:val="24"/>
          <w:szCs w:val="24"/>
          <w:lang w:val="zh-CN"/>
        </w:rPr>
      </w:pPr>
      <w:r>
        <w:rPr>
          <w:rFonts w:hint="eastAsia" w:ascii="宋体" w:hAnsi="宋体" w:cs="宋体"/>
          <w:color w:val="auto"/>
          <w:sz w:val="24"/>
          <w:szCs w:val="24"/>
          <w:lang w:val="zh-CN"/>
        </w:rPr>
        <w:t>15.2提供投标人有关售后服务的管理制度、售后服务机构的分布情况、售后服务人员的数量、素质、技术水平及售后服务的反应能力。</w:t>
      </w:r>
    </w:p>
    <w:p>
      <w:pPr>
        <w:pStyle w:val="7"/>
        <w:spacing w:before="0" w:after="0" w:line="500" w:lineRule="exact"/>
        <w:ind w:firstLine="482" w:firstLineChars="200"/>
        <w:rPr>
          <w:rFonts w:ascii="宋体" w:hAnsi="宋体" w:eastAsia="宋体"/>
          <w:color w:val="auto"/>
          <w:sz w:val="24"/>
          <w:szCs w:val="24"/>
        </w:rPr>
      </w:pPr>
      <w:bookmarkStart w:id="107" w:name="_Toc49090510"/>
      <w:bookmarkStart w:id="108" w:name="_Toc14577359"/>
      <w:r>
        <w:rPr>
          <w:rFonts w:ascii="宋体" w:hAnsi="宋体" w:eastAsia="宋体"/>
          <w:color w:val="auto"/>
          <w:sz w:val="24"/>
          <w:szCs w:val="24"/>
        </w:rPr>
        <w:t>16</w:t>
      </w:r>
      <w:r>
        <w:rPr>
          <w:rFonts w:hint="eastAsia" w:ascii="宋体" w:hAnsi="宋体" w:eastAsia="宋体"/>
          <w:color w:val="auto"/>
          <w:sz w:val="24"/>
          <w:szCs w:val="24"/>
        </w:rPr>
        <w:t>、投标函和开标一览表</w:t>
      </w:r>
    </w:p>
    <w:bookmarkEnd w:id="107"/>
    <w:bookmarkEnd w:id="108"/>
    <w:p>
      <w:pPr>
        <w:spacing w:line="500" w:lineRule="exact"/>
        <w:ind w:firstLine="480" w:firstLineChars="200"/>
        <w:rPr>
          <w:rFonts w:hint="eastAsia" w:ascii="宋体" w:hAnsi="宋体"/>
          <w:bCs/>
          <w:color w:val="auto"/>
          <w:sz w:val="24"/>
          <w:szCs w:val="24"/>
        </w:rPr>
      </w:pPr>
      <w:bookmarkStart w:id="109" w:name="_Toc14577360"/>
      <w:bookmarkStart w:id="110" w:name="_Toc49090511"/>
      <w:r>
        <w:rPr>
          <w:rFonts w:hint="eastAsia" w:ascii="宋体" w:hAnsi="宋体"/>
          <w:bCs/>
          <w:color w:val="auto"/>
          <w:sz w:val="24"/>
          <w:szCs w:val="24"/>
        </w:rPr>
        <w:t>16.1 投标人应按照招标文件中提供的格式完整、正确填写投标函、开标一览表。</w:t>
      </w:r>
    </w:p>
    <w:p>
      <w:pPr>
        <w:spacing w:line="500" w:lineRule="exact"/>
        <w:ind w:firstLine="480" w:firstLineChars="200"/>
        <w:rPr>
          <w:rFonts w:ascii="宋体" w:hAnsi="宋体"/>
          <w:b/>
          <w:bCs/>
          <w:color w:val="auto"/>
          <w:sz w:val="24"/>
          <w:szCs w:val="24"/>
        </w:rPr>
      </w:pPr>
      <w:r>
        <w:rPr>
          <w:rFonts w:hint="eastAsia" w:ascii="宋体" w:hAnsi="宋体"/>
          <w:bCs/>
          <w:color w:val="auto"/>
          <w:sz w:val="24"/>
          <w:szCs w:val="24"/>
        </w:rPr>
        <w:t>16.2 开标一览表中的价格应与投标文件中投标配置与分项报价表中的价格一致，如不一致，不作为无效投标处理，但评标时按开标一览表中价格为准。</w:t>
      </w:r>
    </w:p>
    <w:p>
      <w:pPr>
        <w:pStyle w:val="7"/>
        <w:spacing w:before="0" w:after="0" w:line="500" w:lineRule="exact"/>
        <w:ind w:firstLine="482" w:firstLineChars="200"/>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7、投标有效期</w:t>
      </w:r>
      <w:bookmarkEnd w:id="109"/>
      <w:bookmarkEnd w:id="110"/>
    </w:p>
    <w:p>
      <w:pPr>
        <w:spacing w:line="500" w:lineRule="exact"/>
        <w:ind w:firstLine="480" w:firstLineChars="200"/>
        <w:rPr>
          <w:rFonts w:ascii="宋体"/>
          <w:bCs/>
          <w:color w:val="auto"/>
          <w:sz w:val="24"/>
          <w:szCs w:val="24"/>
        </w:rPr>
      </w:pP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.1</w:t>
      </w:r>
      <w:r>
        <w:rPr>
          <w:rFonts w:hint="eastAsia" w:ascii="宋体" w:hAnsi="宋体"/>
          <w:bCs/>
          <w:color w:val="auto"/>
          <w:sz w:val="24"/>
          <w:szCs w:val="24"/>
        </w:rPr>
        <w:t>投标有效期为开标之日后</w:t>
      </w:r>
      <w:r>
        <w:rPr>
          <w:rFonts w:hint="eastAsia" w:ascii="宋体" w:hAnsi="宋体"/>
          <w:b/>
          <w:bCs w:val="0"/>
          <w:color w:val="auto"/>
          <w:sz w:val="24"/>
          <w:szCs w:val="24"/>
          <w:u w:val="single"/>
        </w:rPr>
        <w:t>六十（60）天</w:t>
      </w:r>
      <w:r>
        <w:rPr>
          <w:rFonts w:hint="eastAsia" w:ascii="宋体" w:hAnsi="宋体"/>
          <w:bCs/>
          <w:color w:val="auto"/>
          <w:sz w:val="24"/>
          <w:szCs w:val="24"/>
        </w:rPr>
        <w:t>。投标有效期比规定短的将被视为非响应性投标而予以拒绝。</w:t>
      </w:r>
    </w:p>
    <w:p>
      <w:pPr>
        <w:spacing w:line="500" w:lineRule="exact"/>
        <w:ind w:firstLine="480" w:firstLineChars="200"/>
        <w:rPr>
          <w:rFonts w:ascii="宋体"/>
          <w:bCs/>
          <w:color w:val="auto"/>
          <w:sz w:val="24"/>
          <w:szCs w:val="24"/>
        </w:rPr>
      </w:pP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.2</w:t>
      </w:r>
      <w:r>
        <w:rPr>
          <w:rFonts w:hint="eastAsia" w:ascii="宋体" w:hAnsi="宋体"/>
          <w:bCs/>
          <w:color w:val="auto"/>
          <w:sz w:val="24"/>
          <w:szCs w:val="24"/>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w:t>
      </w:r>
    </w:p>
    <w:p>
      <w:pPr>
        <w:pStyle w:val="7"/>
        <w:spacing w:before="0" w:after="0" w:line="500" w:lineRule="exact"/>
        <w:ind w:firstLine="361" w:firstLineChars="150"/>
        <w:rPr>
          <w:rFonts w:ascii="宋体" w:hAnsi="宋体" w:eastAsia="宋体"/>
          <w:color w:val="auto"/>
          <w:sz w:val="24"/>
          <w:szCs w:val="24"/>
        </w:rPr>
      </w:pPr>
      <w:bookmarkStart w:id="111" w:name="_Toc14577361"/>
      <w:bookmarkStart w:id="112" w:name="_Toc49090512"/>
      <w:r>
        <w:rPr>
          <w:rFonts w:ascii="宋体" w:hAnsi="宋体" w:eastAsia="宋体"/>
          <w:color w:val="auto"/>
          <w:sz w:val="24"/>
          <w:szCs w:val="24"/>
        </w:rPr>
        <w:t>1</w:t>
      </w:r>
      <w:r>
        <w:rPr>
          <w:rFonts w:hint="eastAsia" w:ascii="宋体" w:hAnsi="宋体" w:eastAsia="宋体"/>
          <w:color w:val="auto"/>
          <w:sz w:val="24"/>
          <w:szCs w:val="24"/>
        </w:rPr>
        <w:t>8、投标文件份数和签署</w:t>
      </w:r>
      <w:bookmarkEnd w:id="111"/>
      <w:bookmarkEnd w:id="112"/>
    </w:p>
    <w:p>
      <w:pPr>
        <w:spacing w:line="500" w:lineRule="exact"/>
        <w:ind w:firstLine="482" w:firstLineChars="200"/>
        <w:rPr>
          <w:rFonts w:ascii="宋体"/>
          <w:color w:val="auto"/>
          <w:sz w:val="24"/>
          <w:szCs w:val="24"/>
        </w:rPr>
      </w:pPr>
      <w:r>
        <w:rPr>
          <w:rFonts w:ascii="宋体" w:hAnsi="宋体"/>
          <w:b/>
          <w:color w:val="auto"/>
          <w:sz w:val="24"/>
          <w:szCs w:val="24"/>
        </w:rPr>
        <w:t>1</w:t>
      </w:r>
      <w:r>
        <w:rPr>
          <w:rFonts w:hint="eastAsia" w:ascii="宋体" w:hAnsi="宋体"/>
          <w:b/>
          <w:color w:val="auto"/>
          <w:sz w:val="24"/>
          <w:szCs w:val="24"/>
        </w:rPr>
        <w:t>8</w:t>
      </w:r>
      <w:r>
        <w:rPr>
          <w:rFonts w:ascii="宋体" w:hAnsi="宋体"/>
          <w:b/>
          <w:color w:val="auto"/>
          <w:sz w:val="24"/>
          <w:szCs w:val="24"/>
        </w:rPr>
        <w:t xml:space="preserve">.1 </w:t>
      </w:r>
      <w:r>
        <w:rPr>
          <w:rFonts w:hint="eastAsia" w:ascii="宋体" w:hAnsi="宋体"/>
          <w:b/>
          <w:color w:val="auto"/>
          <w:sz w:val="24"/>
          <w:szCs w:val="24"/>
        </w:rPr>
        <w:t>投标文件要求正本一份，副本</w:t>
      </w:r>
      <w:r>
        <w:rPr>
          <w:rFonts w:hint="eastAsia" w:ascii="宋体" w:hAnsi="宋体"/>
          <w:b/>
          <w:color w:val="auto"/>
          <w:sz w:val="24"/>
          <w:szCs w:val="24"/>
          <w:lang w:val="en-US" w:eastAsia="zh-CN"/>
        </w:rPr>
        <w:t>四</w:t>
      </w:r>
      <w:r>
        <w:rPr>
          <w:rFonts w:hint="eastAsia" w:ascii="宋体" w:hAnsi="宋体"/>
          <w:b/>
          <w:color w:val="auto"/>
          <w:sz w:val="24"/>
          <w:szCs w:val="24"/>
        </w:rPr>
        <w:t>份</w:t>
      </w:r>
      <w:r>
        <w:rPr>
          <w:rFonts w:hint="eastAsia" w:ascii="宋体" w:hAnsi="宋体"/>
          <w:color w:val="auto"/>
          <w:sz w:val="24"/>
          <w:szCs w:val="24"/>
        </w:rPr>
        <w:t>。</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18.2投标人应严格按照招标公告和招标文件要求的份数准备投标文件，每份投标文件须清楚地标明“正本”或“副本”字样。一旦正本和副本不符，以正本为准。</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18.3招标文件要求提供的原件可直接放入投标文件封袋内或单独密封在一个封袋内，如果原件是单独密封的须在封袋上标明项目名称、投标人名称并在封口处密封并加盖投标人公章，与投标文件一起递交。投标文件正本中，招标文件要求必须提供原件的按照要求提供，文字材料需打印或用不褪色墨水书写。投标文件的正本须经法定代表人或授权委托人（被授权人）签署和加盖投标人公章。 本采购文件所表述（指定）的公章是指法定名称章，不包括合同专用章、业务专用章等印章。</w:t>
      </w:r>
      <w:r>
        <w:rPr>
          <w:rFonts w:hint="eastAsia" w:ascii="宋体" w:hAnsi="宋体" w:eastAsia="宋体"/>
          <w:bCs/>
          <w:kern w:val="2"/>
          <w:sz w:val="24"/>
          <w:szCs w:val="24"/>
          <w:highlight w:val="none"/>
        </w:rPr>
        <w:t>（招标文件中要求提供原件的须在投标文件中提供复印件）</w:t>
      </w:r>
    </w:p>
    <w:p>
      <w:pPr>
        <w:spacing w:line="500" w:lineRule="exact"/>
        <w:ind w:firstLine="480" w:firstLineChars="200"/>
        <w:rPr>
          <w:rFonts w:asciiTheme="minorEastAsia" w:hAnsiTheme="minorEastAsia" w:eastAsiaTheme="minorEastAsia"/>
          <w:bCs/>
          <w:color w:val="auto"/>
          <w:sz w:val="24"/>
          <w:szCs w:val="24"/>
        </w:rPr>
      </w:pPr>
      <w:r>
        <w:rPr>
          <w:rFonts w:hint="eastAsia" w:ascii="宋体" w:hAnsi="宋体"/>
          <w:color w:val="auto"/>
          <w:sz w:val="24"/>
          <w:szCs w:val="24"/>
        </w:rPr>
        <w:t>18.4 除投标人对错处做必要修改外，投标文件不得行间插字、涂改或增删。如有修改错漏处，必须由投标文件签署人签字或盖章。</w:t>
      </w:r>
    </w:p>
    <w:p>
      <w:pPr>
        <w:pStyle w:val="6"/>
        <w:spacing w:beforeLines="50" w:afterLines="50" w:line="500" w:lineRule="exact"/>
        <w:ind w:firstLine="361" w:firstLineChars="150"/>
        <w:rPr>
          <w:rFonts w:ascii="宋体"/>
          <w:color w:val="auto"/>
          <w:sz w:val="24"/>
          <w:szCs w:val="24"/>
        </w:rPr>
      </w:pPr>
      <w:bookmarkStart w:id="113" w:name="_Toc513029224"/>
      <w:bookmarkStart w:id="114" w:name="_Toc120614217"/>
      <w:bookmarkStart w:id="115" w:name="_Toc20823296"/>
      <w:bookmarkStart w:id="116" w:name="_Toc16938540"/>
      <w:r>
        <w:rPr>
          <w:rFonts w:hint="eastAsia" w:ascii="宋体" w:hAnsi="宋体"/>
          <w:color w:val="auto"/>
          <w:sz w:val="24"/>
          <w:szCs w:val="24"/>
        </w:rPr>
        <w:t>四、投标文件的递交</w:t>
      </w:r>
      <w:bookmarkEnd w:id="113"/>
      <w:bookmarkEnd w:id="114"/>
      <w:bookmarkEnd w:id="115"/>
      <w:bookmarkEnd w:id="116"/>
    </w:p>
    <w:p>
      <w:pPr>
        <w:pStyle w:val="7"/>
        <w:spacing w:before="0" w:after="0" w:line="500" w:lineRule="exact"/>
        <w:ind w:firstLine="482" w:firstLineChars="200"/>
        <w:rPr>
          <w:rFonts w:ascii="宋体" w:hAnsi="宋体" w:eastAsia="宋体"/>
          <w:color w:val="auto"/>
          <w:sz w:val="24"/>
          <w:szCs w:val="24"/>
        </w:rPr>
      </w:pPr>
      <w:bookmarkStart w:id="117" w:name="_Toc462564084"/>
      <w:bookmarkStart w:id="118" w:name="_Toc16938541"/>
      <w:bookmarkStart w:id="119" w:name="_Toc513029225"/>
      <w:bookmarkStart w:id="120" w:name="_Toc20823297"/>
      <w:r>
        <w:rPr>
          <w:rFonts w:hint="eastAsia" w:ascii="宋体" w:hAnsi="宋体" w:eastAsia="宋体"/>
          <w:color w:val="auto"/>
          <w:sz w:val="24"/>
          <w:szCs w:val="24"/>
        </w:rPr>
        <w:t>19、投标文件的密封和标记</w:t>
      </w:r>
      <w:bookmarkEnd w:id="117"/>
      <w:bookmarkEnd w:id="118"/>
      <w:bookmarkEnd w:id="119"/>
      <w:bookmarkEnd w:id="120"/>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19.1投标人应将投标文件正本和所有副本密封，不论投标人中标与否，投标文件均不退回（投标原件除外）。</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19.2 密封的投标文件应：</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19.2.1 投标文件按招标文件的格式、样式要求装订、签署和盖章后装入封袋，封袋大小根据需要自行制作，在封袋上正确标明项目名称、投标人名称、包号。</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注明投标人名称，如因标注不清而产生的后果由投标人自负。按招标公告中注明的地址送达；</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19.2.2  所有投标文件装入封袋后都必须在封口处密封并加盖投标人公章。</w:t>
      </w:r>
    </w:p>
    <w:p>
      <w:pPr>
        <w:spacing w:line="500" w:lineRule="exact"/>
        <w:ind w:firstLine="480" w:firstLineChars="200"/>
        <w:rPr>
          <w:rFonts w:ascii="宋体"/>
          <w:bCs/>
          <w:color w:val="auto"/>
          <w:sz w:val="24"/>
          <w:szCs w:val="24"/>
        </w:rPr>
      </w:pPr>
      <w:r>
        <w:rPr>
          <w:rFonts w:hint="eastAsia" w:ascii="宋体" w:hAnsi="宋体"/>
          <w:color w:val="auto"/>
          <w:sz w:val="24"/>
          <w:szCs w:val="24"/>
        </w:rPr>
        <w:t>19.2.3  未按要求密封和加写标记的投标文件，采购人或采购代理机构对误投或过早启封概不负责。对由此造成提前开封的投标文件，采购中心将予以拒绝。</w:t>
      </w:r>
    </w:p>
    <w:p>
      <w:pPr>
        <w:pStyle w:val="7"/>
        <w:spacing w:before="0" w:after="0" w:line="500" w:lineRule="exact"/>
        <w:ind w:firstLine="482" w:firstLineChars="200"/>
        <w:rPr>
          <w:rFonts w:ascii="宋体" w:hAnsi="宋体" w:eastAsia="宋体"/>
          <w:color w:val="auto"/>
          <w:sz w:val="24"/>
          <w:szCs w:val="24"/>
        </w:rPr>
      </w:pPr>
      <w:r>
        <w:rPr>
          <w:rFonts w:hint="eastAsia" w:ascii="宋体" w:hAnsi="宋体" w:eastAsia="宋体"/>
          <w:color w:val="auto"/>
          <w:sz w:val="24"/>
          <w:szCs w:val="24"/>
          <w:lang w:val="en-US" w:eastAsia="zh-CN"/>
        </w:rPr>
        <w:t>20、</w:t>
      </w:r>
      <w:r>
        <w:rPr>
          <w:rFonts w:hint="eastAsia" w:ascii="宋体" w:hAnsi="宋体" w:eastAsia="宋体"/>
          <w:color w:val="auto"/>
          <w:sz w:val="24"/>
          <w:szCs w:val="24"/>
        </w:rPr>
        <w:t>投标截止日期</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20.1 采购人或者采购代理机构收到投标文件的时间不得迟于招标公告中规定的截止时间。</w:t>
      </w:r>
    </w:p>
    <w:p>
      <w:pPr>
        <w:spacing w:line="500" w:lineRule="exact"/>
        <w:ind w:firstLine="480" w:firstLineChars="200"/>
        <w:rPr>
          <w:rFonts w:ascii="宋体"/>
          <w:bCs/>
          <w:color w:val="auto"/>
          <w:sz w:val="24"/>
          <w:szCs w:val="24"/>
        </w:rPr>
      </w:pPr>
      <w:r>
        <w:rPr>
          <w:rFonts w:hint="eastAsia" w:ascii="宋体" w:hAnsi="宋体"/>
          <w:color w:val="auto"/>
          <w:sz w:val="24"/>
          <w:szCs w:val="24"/>
        </w:rPr>
        <w:t>20.2 采购人有权通过修改招标文件酌情延长投标截止日期，在此情况下，投标人的所有权利和义务以及投标人受制的截止日期均应以延长后新的截止日期为准。</w:t>
      </w:r>
    </w:p>
    <w:p>
      <w:pPr>
        <w:pStyle w:val="7"/>
        <w:spacing w:before="0" w:after="0" w:line="500" w:lineRule="exact"/>
        <w:ind w:firstLine="482" w:firstLineChars="200"/>
        <w:rPr>
          <w:rFonts w:ascii="宋体" w:hAnsi="宋体" w:eastAsia="宋体"/>
          <w:b w:val="0"/>
          <w:bCs w:val="0"/>
          <w:color w:val="auto"/>
          <w:sz w:val="24"/>
          <w:szCs w:val="24"/>
        </w:rPr>
      </w:pPr>
      <w:r>
        <w:rPr>
          <w:rFonts w:hint="eastAsia" w:ascii="宋体" w:hAnsi="宋体" w:eastAsia="宋体"/>
          <w:color w:val="auto"/>
          <w:sz w:val="24"/>
          <w:szCs w:val="24"/>
        </w:rPr>
        <w:t>21、迟交的投标文件</w:t>
      </w:r>
    </w:p>
    <w:p>
      <w:pPr>
        <w:spacing w:line="500" w:lineRule="exact"/>
        <w:ind w:firstLine="480" w:firstLineChars="200"/>
        <w:rPr>
          <w:rFonts w:hint="eastAsia" w:ascii="宋体" w:hAnsi="宋体"/>
          <w:color w:val="auto"/>
          <w:sz w:val="24"/>
          <w:szCs w:val="24"/>
        </w:rPr>
      </w:pPr>
      <w:bookmarkStart w:id="121" w:name="_Toc16938545"/>
      <w:bookmarkStart w:id="122" w:name="_Toc513029229"/>
      <w:bookmarkStart w:id="123" w:name="_Toc20823301"/>
      <w:bookmarkStart w:id="124" w:name="_Toc120614218"/>
      <w:r>
        <w:rPr>
          <w:rFonts w:hint="eastAsia" w:ascii="宋体" w:hAnsi="宋体"/>
          <w:color w:val="auto"/>
          <w:sz w:val="24"/>
          <w:szCs w:val="24"/>
        </w:rPr>
        <w:t>21.1 采购人、采购代理机构拒绝接收在其规定的投标截止时间后递交的任何投标文件。</w:t>
      </w:r>
    </w:p>
    <w:p>
      <w:pPr>
        <w:pStyle w:val="2"/>
        <w:rPr>
          <w:rFonts w:hint="eastAsia" w:ascii="宋体" w:hAnsi="宋体" w:eastAsia="宋体" w:cs="Arial"/>
          <w:b/>
          <w:bCs/>
          <w:color w:val="auto"/>
          <w:kern w:val="2"/>
          <w:sz w:val="24"/>
          <w:szCs w:val="24"/>
          <w:lang w:val="en-US" w:eastAsia="zh-CN" w:bidi="ar-SA"/>
        </w:rPr>
      </w:pPr>
      <w:bookmarkStart w:id="125" w:name="_Toc513029228"/>
      <w:bookmarkStart w:id="126" w:name="_Toc20823300"/>
      <w:bookmarkStart w:id="127" w:name="_Toc16938544"/>
      <w:r>
        <w:rPr>
          <w:rFonts w:hint="eastAsia" w:ascii="宋体" w:hAnsi="宋体" w:eastAsia="宋体" w:cs="Arial"/>
          <w:b/>
          <w:bCs/>
          <w:color w:val="auto"/>
          <w:kern w:val="2"/>
          <w:sz w:val="24"/>
          <w:szCs w:val="24"/>
          <w:lang w:val="en-US" w:eastAsia="zh-CN" w:bidi="ar-SA"/>
        </w:rPr>
        <w:t>22、投标文件的修改和撤回</w:t>
      </w:r>
      <w:bookmarkEnd w:id="125"/>
      <w:bookmarkEnd w:id="126"/>
      <w:bookmarkEnd w:id="127"/>
    </w:p>
    <w:p>
      <w:pPr>
        <w:spacing w:line="480" w:lineRule="exact"/>
        <w:ind w:firstLine="480" w:firstLineChars="200"/>
        <w:rPr>
          <w:rFonts w:hint="eastAsia" w:ascii="宋体" w:hAnsi="宋体"/>
          <w:color w:val="000000"/>
          <w:sz w:val="24"/>
          <w:szCs w:val="24"/>
        </w:rPr>
      </w:pPr>
      <w:r>
        <w:rPr>
          <w:rFonts w:hint="eastAsia" w:ascii="宋体" w:hAnsi="宋体"/>
          <w:color w:val="000000"/>
          <w:sz w:val="24"/>
        </w:rPr>
        <w:t>22.1</w:t>
      </w:r>
      <w:r>
        <w:rPr>
          <w:rFonts w:hint="eastAsia" w:ascii="宋体" w:hAnsi="宋体"/>
          <w:bCs/>
          <w:color w:val="000000"/>
          <w:sz w:val="24"/>
        </w:rPr>
        <w:t xml:space="preserve"> 投标人在递交投标文件后，可以修改或撤回其投标文件，但这种修改和撤回，必须在规定的投标截止时间前，以书面形式</w:t>
      </w:r>
      <w:r>
        <w:rPr>
          <w:rFonts w:hint="eastAsia" w:ascii="宋体" w:hAnsi="宋体"/>
          <w:color w:val="000000"/>
          <w:sz w:val="24"/>
          <w:szCs w:val="24"/>
        </w:rPr>
        <w:t>通知</w:t>
      </w:r>
      <w:r>
        <w:rPr>
          <w:rFonts w:hint="eastAsia" w:ascii="宋体" w:hAnsi="宋体"/>
          <w:bCs/>
          <w:color w:val="000000"/>
          <w:sz w:val="24"/>
          <w:szCs w:val="24"/>
        </w:rPr>
        <w:t>采购人或者采购代理机构</w:t>
      </w:r>
      <w:r>
        <w:rPr>
          <w:rFonts w:hint="eastAsia" w:ascii="宋体" w:hAnsi="宋体"/>
          <w:color w:val="000000"/>
          <w:sz w:val="24"/>
          <w:szCs w:val="24"/>
        </w:rPr>
        <w:t>，修改或撤回其投标文件。</w:t>
      </w:r>
    </w:p>
    <w:p>
      <w:pPr>
        <w:spacing w:line="480" w:lineRule="exact"/>
        <w:ind w:firstLine="480" w:firstLineChars="200"/>
        <w:rPr>
          <w:rFonts w:hint="eastAsia" w:ascii="宋体" w:hAnsi="宋体"/>
          <w:color w:val="000000"/>
          <w:sz w:val="24"/>
          <w:szCs w:val="24"/>
        </w:rPr>
      </w:pPr>
      <w:r>
        <w:rPr>
          <w:rFonts w:hint="eastAsia" w:ascii="宋体" w:hAnsi="宋体"/>
          <w:color w:val="000000"/>
          <w:sz w:val="24"/>
        </w:rPr>
        <w:t>22.2</w:t>
      </w:r>
      <w:r>
        <w:rPr>
          <w:rFonts w:hint="eastAsia" w:ascii="宋体" w:hAnsi="宋体"/>
          <w:bCs/>
          <w:color w:val="000000"/>
          <w:sz w:val="24"/>
        </w:rPr>
        <w:t xml:space="preserve"> 投标人的修改或撤回文件应按规定进行编制、密封、标记和发送，并应在封套上加注“修改</w:t>
      </w:r>
      <w:r>
        <w:rPr>
          <w:rFonts w:ascii="宋体" w:hAnsi="宋体"/>
          <w:bCs/>
          <w:color w:val="000000"/>
          <w:sz w:val="24"/>
        </w:rPr>
        <w:t>”</w:t>
      </w:r>
      <w:r>
        <w:rPr>
          <w:rFonts w:hint="eastAsia" w:ascii="宋体" w:hAnsi="宋体"/>
          <w:bCs/>
          <w:color w:val="000000"/>
          <w:sz w:val="24"/>
        </w:rPr>
        <w:t>或“撤回</w:t>
      </w:r>
      <w:r>
        <w:rPr>
          <w:rFonts w:ascii="宋体" w:hAnsi="宋体"/>
          <w:bCs/>
          <w:color w:val="000000"/>
          <w:sz w:val="24"/>
        </w:rPr>
        <w:t>”</w:t>
      </w:r>
      <w:r>
        <w:rPr>
          <w:rFonts w:hint="eastAsia" w:ascii="宋体" w:hAnsi="宋体"/>
          <w:bCs/>
          <w:color w:val="000000"/>
          <w:sz w:val="24"/>
        </w:rPr>
        <w:t>字样。</w:t>
      </w:r>
      <w:r>
        <w:rPr>
          <w:rFonts w:hint="eastAsia" w:ascii="宋体" w:hAnsi="宋体"/>
          <w:color w:val="000000"/>
          <w:sz w:val="24"/>
          <w:szCs w:val="24"/>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hint="eastAsia" w:ascii="宋体" w:hAnsi="宋体"/>
          <w:bCs/>
          <w:color w:val="000000"/>
          <w:sz w:val="24"/>
        </w:rPr>
      </w:pPr>
      <w:r>
        <w:rPr>
          <w:rFonts w:hint="eastAsia" w:ascii="宋体" w:hAnsi="宋体"/>
          <w:color w:val="000000"/>
          <w:sz w:val="24"/>
        </w:rPr>
        <w:t>22.3</w:t>
      </w:r>
      <w:r>
        <w:rPr>
          <w:rFonts w:hint="eastAsia" w:ascii="宋体" w:hAnsi="宋体"/>
          <w:bCs/>
          <w:color w:val="000000"/>
          <w:sz w:val="24"/>
        </w:rPr>
        <w:t xml:space="preserve"> 在投标截止时间之后，投标人不得对其投标文件作任何</w:t>
      </w:r>
      <w:r>
        <w:rPr>
          <w:rFonts w:hint="eastAsia" w:ascii="宋体" w:hAnsi="宋体"/>
          <w:bCs/>
          <w:color w:val="000000"/>
          <w:sz w:val="24"/>
          <w:lang w:eastAsia="zh-CN"/>
        </w:rPr>
        <w:t>补充、</w:t>
      </w:r>
      <w:r>
        <w:rPr>
          <w:rFonts w:hint="eastAsia" w:ascii="宋体" w:hAnsi="宋体"/>
          <w:bCs/>
          <w:color w:val="000000"/>
          <w:sz w:val="24"/>
        </w:rPr>
        <w:t>修改。</w:t>
      </w:r>
    </w:p>
    <w:p>
      <w:pPr>
        <w:pStyle w:val="2"/>
        <w:rPr>
          <w:rFonts w:hint="eastAsia" w:ascii="宋体" w:hAnsi="宋体" w:eastAsia="宋体" w:cs="Times New Roman"/>
          <w:bCs/>
          <w:color w:val="000000"/>
          <w:kern w:val="2"/>
          <w:sz w:val="24"/>
          <w:szCs w:val="21"/>
          <w:lang w:val="en-US" w:eastAsia="zh-CN" w:bidi="ar-SA"/>
        </w:rPr>
      </w:pPr>
      <w:r>
        <w:rPr>
          <w:rFonts w:hint="eastAsia" w:ascii="宋体" w:hAnsi="宋体" w:eastAsia="宋体" w:cs="Times New Roman"/>
          <w:bCs/>
          <w:color w:val="000000"/>
          <w:kern w:val="2"/>
          <w:sz w:val="24"/>
          <w:szCs w:val="21"/>
          <w:lang w:val="en-US" w:eastAsia="zh-CN" w:bidi="ar-SA"/>
        </w:rPr>
        <w:t>22.4 在投标截止时间至招标文件中规定的投标有效期满之间的这段时间内，投标人不得撤回其投标。</w:t>
      </w:r>
    </w:p>
    <w:p>
      <w:pPr>
        <w:pStyle w:val="6"/>
        <w:spacing w:beforeLines="50" w:afterLines="50" w:line="500" w:lineRule="exact"/>
        <w:ind w:firstLine="361" w:firstLineChars="150"/>
        <w:rPr>
          <w:rFonts w:ascii="宋体"/>
          <w:color w:val="auto"/>
          <w:sz w:val="24"/>
          <w:szCs w:val="24"/>
        </w:rPr>
      </w:pPr>
      <w:r>
        <w:rPr>
          <w:rFonts w:hint="eastAsia" w:ascii="宋体" w:hAnsi="宋体"/>
          <w:color w:val="auto"/>
          <w:sz w:val="24"/>
          <w:szCs w:val="24"/>
        </w:rPr>
        <w:t>五、开标与评标</w:t>
      </w:r>
      <w:bookmarkEnd w:id="121"/>
      <w:bookmarkEnd w:id="122"/>
      <w:bookmarkEnd w:id="123"/>
      <w:bookmarkEnd w:id="124"/>
    </w:p>
    <w:p>
      <w:pPr>
        <w:pStyle w:val="7"/>
        <w:spacing w:before="0" w:after="0" w:line="500" w:lineRule="exact"/>
        <w:ind w:firstLine="482" w:firstLineChars="200"/>
        <w:rPr>
          <w:rFonts w:ascii="宋体" w:hAnsi="宋体" w:eastAsia="宋体"/>
          <w:color w:val="auto"/>
          <w:sz w:val="24"/>
          <w:szCs w:val="24"/>
        </w:rPr>
      </w:pPr>
      <w:bookmarkStart w:id="128" w:name="_Toc20823302"/>
      <w:bookmarkStart w:id="129" w:name="_Toc513029230"/>
      <w:bookmarkStart w:id="130" w:name="_Toc16938546"/>
      <w:r>
        <w:rPr>
          <w:rFonts w:ascii="宋体" w:hAnsi="宋体" w:eastAsia="宋体"/>
          <w:color w:val="auto"/>
          <w:sz w:val="24"/>
          <w:szCs w:val="24"/>
        </w:rPr>
        <w:t>2</w:t>
      </w:r>
      <w:r>
        <w:rPr>
          <w:rFonts w:hint="eastAsia" w:ascii="宋体" w:hAnsi="宋体" w:eastAsia="宋体"/>
          <w:color w:val="auto"/>
          <w:sz w:val="24"/>
          <w:szCs w:val="24"/>
        </w:rPr>
        <w:t>3、开标</w:t>
      </w:r>
      <w:bookmarkEnd w:id="128"/>
      <w:bookmarkEnd w:id="129"/>
      <w:bookmarkEnd w:id="130"/>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23.1 开标在招标公告中规定的时间和地点组织公开开标。投标人应委派携带有效证件的代表准时参加，参加开标的代表需签名以证明其出席。</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23.2开标由采购人或者采购代理机构主持，邀请投标人参加。</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23.3 按照规定同意撤回的投标将不予开封。</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23.4 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23.5 采购人或者采购代理机构负责记录开标过程，由参加开标的各投标人代表和相关工作人员签字确认后随采购文件一并存档。</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23.6 投标人在报价时不允许采用选择性报价，否则将被视为无效投标。</w:t>
      </w:r>
    </w:p>
    <w:p>
      <w:pPr>
        <w:spacing w:line="500" w:lineRule="exact"/>
        <w:ind w:firstLine="480" w:firstLineChars="200"/>
        <w:rPr>
          <w:rFonts w:ascii="宋体"/>
          <w:color w:val="auto"/>
          <w:sz w:val="24"/>
          <w:szCs w:val="24"/>
        </w:rPr>
      </w:pPr>
      <w:r>
        <w:rPr>
          <w:rFonts w:hint="eastAsia" w:ascii="宋体" w:hAnsi="宋体"/>
          <w:color w:val="auto"/>
          <w:sz w:val="24"/>
          <w:szCs w:val="24"/>
        </w:rPr>
        <w:t>23.7投标人未参加开标的，视同认可开标结果。</w:t>
      </w:r>
    </w:p>
    <w:p>
      <w:pPr>
        <w:pStyle w:val="7"/>
        <w:spacing w:before="0" w:after="0" w:line="500" w:lineRule="exact"/>
        <w:ind w:firstLine="482" w:firstLineChars="200"/>
        <w:rPr>
          <w:rFonts w:ascii="宋体" w:hAnsi="宋体" w:eastAsia="宋体"/>
          <w:color w:val="auto"/>
          <w:sz w:val="24"/>
          <w:szCs w:val="24"/>
        </w:rPr>
      </w:pPr>
      <w:bookmarkStart w:id="131" w:name="_Toc20823303"/>
      <w:bookmarkStart w:id="132" w:name="_Toc16938547"/>
      <w:bookmarkStart w:id="133" w:name="_Toc513029231"/>
      <w:r>
        <w:rPr>
          <w:rFonts w:hint="eastAsia" w:ascii="宋体" w:hAnsi="宋体" w:eastAsia="宋体"/>
          <w:color w:val="auto"/>
          <w:sz w:val="24"/>
          <w:szCs w:val="24"/>
        </w:rPr>
        <w:t>24、资格审查</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24.1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pacing w:line="500" w:lineRule="exact"/>
        <w:ind w:firstLine="480" w:firstLineChars="200"/>
        <w:rPr>
          <w:rFonts w:ascii="宋体"/>
          <w:color w:val="auto"/>
          <w:sz w:val="24"/>
          <w:szCs w:val="24"/>
        </w:rPr>
      </w:pPr>
      <w:r>
        <w:rPr>
          <w:rFonts w:hint="eastAsia" w:ascii="宋体" w:hAnsi="宋体"/>
          <w:color w:val="auto"/>
          <w:sz w:val="24"/>
          <w:szCs w:val="24"/>
        </w:rPr>
        <w:t>合格投标人不足3家的，不得评标。</w:t>
      </w:r>
    </w:p>
    <w:p>
      <w:pPr>
        <w:pStyle w:val="7"/>
        <w:spacing w:before="0" w:after="0" w:line="500" w:lineRule="exact"/>
        <w:ind w:firstLine="482" w:firstLineChars="200"/>
        <w:rPr>
          <w:rFonts w:ascii="宋体" w:hAnsi="宋体" w:eastAsia="宋体"/>
          <w:color w:val="auto"/>
          <w:sz w:val="24"/>
          <w:szCs w:val="24"/>
        </w:rPr>
      </w:pPr>
      <w:r>
        <w:rPr>
          <w:rFonts w:hint="eastAsia" w:ascii="宋体" w:hAnsi="宋体" w:eastAsia="宋体"/>
          <w:color w:val="auto"/>
          <w:sz w:val="24"/>
          <w:szCs w:val="24"/>
        </w:rPr>
        <w:t>25、评标委员会</w:t>
      </w:r>
    </w:p>
    <w:bookmarkEnd w:id="131"/>
    <w:bookmarkEnd w:id="132"/>
    <w:bookmarkEnd w:id="133"/>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25.1 资格审查通过后，组织评标委员会（以下简称评委会）进行评标。</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25.2 评委会由采购人代表和有关技术、经济等方面的专家组成，且人员构成符合政府采购有关规定。</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25.3评标委员会负责具体评标事务，并独立履行下列职责：</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25.3.1审查、评价投标文件是否符合招标文件的商务、技术等实质性要求；</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25.3.2要求投标人对投标文件有关事项作出澄清或者说明；</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25.3.3对投标文件进行比较和评价；</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25.3.4确定中标候选人名单，以及根据采购人委托直接确定中标人；</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25.3.5向采购人、采购代理机构或者有关部门报告评标中发现的违法行为。</w:t>
      </w:r>
    </w:p>
    <w:p>
      <w:pPr>
        <w:spacing w:line="500" w:lineRule="exact"/>
        <w:ind w:firstLine="480" w:firstLineChars="200"/>
        <w:rPr>
          <w:rFonts w:ascii="宋体"/>
          <w:color w:val="auto"/>
          <w:sz w:val="24"/>
          <w:szCs w:val="24"/>
        </w:rPr>
      </w:pPr>
      <w:r>
        <w:rPr>
          <w:rFonts w:hint="eastAsia" w:ascii="宋体" w:hAnsi="宋体"/>
          <w:color w:val="auto"/>
          <w:sz w:val="24"/>
          <w:szCs w:val="24"/>
        </w:rPr>
        <w:t>25.4评委会独立工作，负责评审所有投标文件并确定中标侯选人。</w:t>
      </w:r>
    </w:p>
    <w:p>
      <w:pPr>
        <w:pStyle w:val="7"/>
        <w:spacing w:before="0" w:after="0" w:line="500" w:lineRule="exact"/>
        <w:ind w:firstLine="482" w:firstLineChars="200"/>
        <w:rPr>
          <w:rFonts w:ascii="宋体" w:hAnsi="宋体" w:eastAsia="宋体"/>
          <w:color w:val="auto"/>
          <w:sz w:val="24"/>
          <w:szCs w:val="24"/>
        </w:rPr>
      </w:pPr>
      <w:r>
        <w:rPr>
          <w:rFonts w:hint="eastAsia" w:ascii="宋体" w:hAnsi="宋体" w:eastAsia="宋体"/>
          <w:color w:val="auto"/>
          <w:sz w:val="24"/>
          <w:szCs w:val="24"/>
        </w:rPr>
        <w:t>26、评标过程的保密与公正</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26.1公开开标后，直至签订合同之日止，凡是与审查、澄清、评价和比较投标的有关资料以及授标建议等，采购人、评委、采购代理机构均不得向投标人或与评标无关的其他人员透露。</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26.2在评标过程中，投标人不得以任何行为影响评标过程，否则其投标文件将被作为无效投标文件。</w:t>
      </w:r>
    </w:p>
    <w:p>
      <w:pPr>
        <w:spacing w:line="460" w:lineRule="exact"/>
        <w:ind w:firstLine="480" w:firstLineChars="200"/>
        <w:rPr>
          <w:rFonts w:ascii="宋体" w:hAnsi="宋体"/>
          <w:color w:val="auto"/>
          <w:sz w:val="24"/>
        </w:rPr>
      </w:pPr>
      <w:r>
        <w:rPr>
          <w:rFonts w:hint="eastAsia" w:ascii="宋体" w:hAnsi="宋体"/>
          <w:color w:val="auto"/>
          <w:sz w:val="24"/>
          <w:szCs w:val="24"/>
        </w:rPr>
        <w:t>26.3 有关人员对评标情况以及在评标过程中获悉的国家秘密、商业秘密负有保密责任。</w:t>
      </w:r>
    </w:p>
    <w:p>
      <w:pPr>
        <w:spacing w:line="500" w:lineRule="exact"/>
        <w:ind w:firstLine="482" w:firstLineChars="200"/>
        <w:rPr>
          <w:rFonts w:ascii="宋体"/>
          <w:b/>
          <w:color w:val="auto"/>
          <w:sz w:val="24"/>
          <w:szCs w:val="24"/>
        </w:rPr>
      </w:pPr>
      <w:r>
        <w:rPr>
          <w:rFonts w:hint="eastAsia" w:ascii="宋体" w:hAnsi="宋体"/>
          <w:b/>
          <w:color w:val="auto"/>
          <w:sz w:val="24"/>
          <w:szCs w:val="24"/>
        </w:rPr>
        <w:t>27、投标的澄清</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27.1评标期间，为有助于对投标文件的审查、评价和比较，评委会有权以书面形式要求投标人对其投标文件进行澄清，但并非对每个投标人都作澄清要求。</w:t>
      </w:r>
    </w:p>
    <w:p>
      <w:pPr>
        <w:spacing w:line="500" w:lineRule="exact"/>
        <w:ind w:firstLine="480" w:firstLineChars="200"/>
        <w:rPr>
          <w:rFonts w:hint="eastAsia" w:ascii="宋体" w:hAnsi="宋体"/>
          <w:color w:val="auto"/>
          <w:sz w:val="24"/>
          <w:szCs w:val="24"/>
        </w:rPr>
      </w:pPr>
      <w:r>
        <w:rPr>
          <w:rFonts w:hint="eastAsia" w:ascii="宋体" w:hAnsi="宋体"/>
          <w:color w:val="auto"/>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500" w:lineRule="exact"/>
        <w:ind w:firstLine="480" w:firstLineChars="200"/>
        <w:rPr>
          <w:rFonts w:ascii="宋体"/>
          <w:color w:val="auto"/>
          <w:sz w:val="24"/>
          <w:szCs w:val="24"/>
        </w:rPr>
      </w:pPr>
      <w:r>
        <w:rPr>
          <w:rFonts w:hint="eastAsia" w:ascii="宋体" w:hAnsi="宋体"/>
          <w:color w:val="auto"/>
          <w:sz w:val="24"/>
          <w:szCs w:val="24"/>
        </w:rPr>
        <w:t>27.3 接到评委会澄清要求的投标人如未按规定做出澄清，其风险由投标人自行承担。</w:t>
      </w:r>
    </w:p>
    <w:p>
      <w:pPr>
        <w:pStyle w:val="7"/>
        <w:spacing w:before="0" w:after="0" w:line="500" w:lineRule="exact"/>
        <w:ind w:firstLine="482" w:firstLineChars="200"/>
        <w:rPr>
          <w:rFonts w:ascii="宋体" w:hAnsi="宋体" w:eastAsia="宋体"/>
          <w:color w:val="auto"/>
          <w:sz w:val="24"/>
          <w:szCs w:val="24"/>
        </w:rPr>
      </w:pPr>
      <w:r>
        <w:rPr>
          <w:rFonts w:hint="eastAsia" w:ascii="宋体" w:hAnsi="宋体" w:eastAsia="宋体"/>
          <w:color w:val="auto"/>
          <w:sz w:val="24"/>
          <w:szCs w:val="24"/>
        </w:rPr>
        <w:t>28、对投标文件的评审</w:t>
      </w:r>
    </w:p>
    <w:p>
      <w:pPr>
        <w:widowControl/>
        <w:spacing w:before="100" w:beforeAutospacing="1" w:after="240" w:line="500" w:lineRule="exact"/>
        <w:ind w:firstLine="480" w:firstLineChars="200"/>
        <w:contextualSpacing/>
        <w:jc w:val="left"/>
        <w:rPr>
          <w:rFonts w:hint="eastAsia" w:ascii="宋体" w:hAnsi="宋体"/>
          <w:color w:val="auto"/>
          <w:sz w:val="24"/>
          <w:szCs w:val="24"/>
        </w:rPr>
      </w:pPr>
      <w:bookmarkStart w:id="134" w:name="_Toc16938551"/>
      <w:bookmarkStart w:id="135" w:name="_Toc20823307"/>
      <w:bookmarkStart w:id="136" w:name="_Toc513029235"/>
      <w:r>
        <w:rPr>
          <w:rFonts w:hint="eastAsia" w:ascii="宋体" w:hAnsi="宋体"/>
          <w:color w:val="auto"/>
          <w:sz w:val="24"/>
          <w:szCs w:val="24"/>
        </w:rPr>
        <w:t>28.1符合性检查：依据招标文件的规定，从投标文件的有效性、完整性和对招标文件的响应程度进行审查，以确定是否对招标文件的实质性要求作出响应。</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28.3如果投标文件实质上没有响应招标文件的要求，评委会将按无效投标处理，投标人不得通过修改或撤销不合要求的偏离或保留而使其投标成为实质性响应的投标。</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28.4评委会将对确定为实质性响应的投标进行进一步审核，看其是否有计算上或累加上的算术错误，修正错误的原则如下：</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（1）投标文件中开标一览表内容与投标文件中相应内容不一致的，以开标一览表为准。</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（2）大写金额和小写金额不一致的，以大写金额为准。</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（3）单价金额小数点或者百分比有明显错位的，以开标一览表的总价为准，并修改单价。</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（4）总价金额与按单价汇总金额不一致的，以单价金额计算结果为准。</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同时出现两种以上错误的，按照前款规定的顺序修正。</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28.5评标委员会将按上述修正错误的方法调整投标文件中的投标报价，修正后的报价应当采用书面形式，并加盖公章，或者由法定代表人或其授权的代表签字，经投标人确认后产生约束力，如果投标人不接受修正后的价格，则其投标将被拒绝。</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28.6评委会将允许修正投标文件中不构成重大偏离的、微小的、非正规的、不一致的或不规则的地方，但这些修改不能影响任何投标人相应的名次排列。</w:t>
      </w:r>
    </w:p>
    <w:p>
      <w:pPr>
        <w:widowControl/>
        <w:spacing w:before="100" w:beforeAutospacing="1" w:after="240" w:line="50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28.7</w:t>
      </w:r>
      <w:r>
        <w:rPr>
          <w:rFonts w:hint="eastAsia" w:ascii="宋体" w:hAnsi="宋体"/>
          <w:b/>
          <w:bCs/>
          <w:color w:val="auto"/>
          <w:sz w:val="24"/>
          <w:szCs w:val="24"/>
        </w:rPr>
        <w:t>采用最低评标价法的采购项目</w:t>
      </w:r>
      <w:r>
        <w:rPr>
          <w:rFonts w:hint="eastAsia" w:ascii="宋体" w:hAnsi="宋体"/>
          <w:color w:val="auto"/>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before="100" w:beforeAutospacing="1" w:after="240" w:line="500" w:lineRule="exact"/>
        <w:ind w:firstLine="482" w:firstLineChars="200"/>
        <w:contextualSpacing/>
        <w:jc w:val="left"/>
        <w:rPr>
          <w:rFonts w:hint="eastAsia" w:ascii="宋体" w:hAnsi="宋体"/>
          <w:color w:val="auto"/>
          <w:sz w:val="24"/>
          <w:szCs w:val="24"/>
        </w:rPr>
      </w:pPr>
      <w:r>
        <w:rPr>
          <w:rFonts w:hint="eastAsia" w:ascii="宋体" w:hAnsi="宋体"/>
          <w:b/>
          <w:bCs/>
          <w:color w:val="auto"/>
          <w:sz w:val="24"/>
          <w:szCs w:val="24"/>
        </w:rPr>
        <w:t>使用综合评分法的采购项目</w:t>
      </w:r>
      <w:r>
        <w:rPr>
          <w:rFonts w:hint="eastAsia" w:ascii="宋体" w:hAnsi="宋体"/>
          <w:color w:val="auto"/>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before="100" w:beforeAutospacing="1" w:after="240" w:line="500" w:lineRule="exact"/>
        <w:ind w:firstLine="482" w:firstLineChars="200"/>
        <w:contextualSpacing/>
        <w:jc w:val="left"/>
        <w:rPr>
          <w:rFonts w:ascii="宋体"/>
          <w:color w:val="auto"/>
          <w:sz w:val="24"/>
          <w:szCs w:val="24"/>
        </w:rPr>
      </w:pPr>
      <w:r>
        <w:rPr>
          <w:rFonts w:hint="eastAsia" w:ascii="宋体" w:hAnsi="宋体"/>
          <w:b/>
          <w:bCs/>
          <w:color w:val="auto"/>
          <w:sz w:val="24"/>
          <w:szCs w:val="24"/>
        </w:rPr>
        <w:t>非单一产品采购项目</w:t>
      </w:r>
      <w:r>
        <w:rPr>
          <w:rFonts w:hint="eastAsia" w:ascii="宋体" w:hAnsi="宋体"/>
          <w:color w:val="auto"/>
          <w:sz w:val="24"/>
          <w:szCs w:val="24"/>
        </w:rPr>
        <w:t>，采购人应当根据采购项目技术构成、产品价格比重等合理确定核心产品，并在招标文件中载明。多家投标人提供的核心产品品牌相同的，按前两款规定处理。   (87号令第31条)</w:t>
      </w:r>
      <w:bookmarkEnd w:id="134"/>
      <w:bookmarkEnd w:id="135"/>
      <w:bookmarkEnd w:id="136"/>
    </w:p>
    <w:p>
      <w:pPr>
        <w:numPr>
          <w:ilvl w:val="0"/>
          <w:numId w:val="0"/>
        </w:numPr>
        <w:spacing w:line="500" w:lineRule="exact"/>
        <w:ind w:firstLine="482" w:firstLineChars="200"/>
        <w:rPr>
          <w:rFonts w:hint="eastAsia" w:ascii="宋体" w:hAnsi="宋体" w:eastAsia="宋体" w:cs="Times New Roman"/>
          <w:bCs w:val="0"/>
          <w:color w:val="auto"/>
          <w:sz w:val="24"/>
          <w:szCs w:val="24"/>
        </w:rPr>
      </w:pPr>
      <w:r>
        <w:rPr>
          <w:rFonts w:hint="eastAsia" w:ascii="宋体" w:hAnsi="宋体" w:cs="Arial"/>
          <w:b/>
          <w:bCs/>
          <w:color w:val="auto"/>
          <w:kern w:val="2"/>
          <w:sz w:val="24"/>
          <w:szCs w:val="24"/>
          <w:lang w:val="en-US" w:eastAsia="zh-CN" w:bidi="ar-SA"/>
        </w:rPr>
        <w:t>29、</w:t>
      </w:r>
      <w:r>
        <w:rPr>
          <w:rFonts w:hint="eastAsia" w:ascii="宋体" w:hAnsi="宋体" w:eastAsia="宋体" w:cs="Arial"/>
          <w:b/>
          <w:bCs/>
          <w:color w:val="auto"/>
          <w:kern w:val="2"/>
          <w:sz w:val="24"/>
          <w:szCs w:val="24"/>
          <w:lang w:val="en-US" w:eastAsia="zh-CN" w:bidi="ar-SA"/>
        </w:rPr>
        <w:t>无效投标条款和废标条款</w:t>
      </w:r>
    </w:p>
    <w:p>
      <w:pPr>
        <w:snapToGrid w:val="0"/>
        <w:spacing w:line="500" w:lineRule="exact"/>
        <w:ind w:firstLine="480" w:firstLineChars="200"/>
        <w:rPr>
          <w:rFonts w:hint="eastAsia" w:ascii="宋体" w:hAnsi="宋体"/>
          <w:bCs/>
          <w:color w:val="auto"/>
          <w:sz w:val="24"/>
          <w:szCs w:val="24"/>
        </w:rPr>
      </w:pPr>
      <w:bookmarkStart w:id="137" w:name="_Toc200451960"/>
      <w:r>
        <w:rPr>
          <w:rFonts w:hint="eastAsia" w:ascii="宋体" w:hAnsi="宋体"/>
          <w:bCs/>
          <w:color w:val="auto"/>
          <w:sz w:val="24"/>
          <w:szCs w:val="24"/>
        </w:rPr>
        <w:t>29.1无效投标条款</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29.1.1未按照招标文件规定要求密封、签署、盖章的；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29.1.2投标人在报价时采用选择性报价；</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29.1.3投标人不具备招标文件中规定资格要求的；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29.1.4投标人的报价超过了采购预算或最高限价的；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29.1.5未通过符合性检查的；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 xml:space="preserve"> 29.1.6不符合招标文件中规定的其他实质性要求和条件的；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29.1.7投标人串通投标；</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29.1.8  投标文件含有采购人不能接受的附加条件的。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29.1.10其他法律、法规及本招标文件规定的属无效投标的情形。</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 xml:space="preserve">29.2废标条款：                                                                                                                                                                                                                                                                                                                                                                                                                                                                                                                                                                                                                                                                                                                                                                                                                                                                                                                                                                                                                                                                                                                                                                                                                                                                                                                                                                                                                                                                         </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29.2.1符合专业条件的供应商或者对招标文件作实质响应的供应商不足三家的；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29.2.2出现影响采购公正的违法、违规行为的；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29.2.3因重大变故，采购任务取消的；</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29.2.4评标委员会认定招标文件存在歧义、重大缺陷导致评审工作无法进行。</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29.3 投标截止时间结束后参加投标的供应商不足三家的处理：</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29.3.1如出现投标截止时间结束后参加投标的供应商或者在评标期间对招标文件做出实质响应的供应商不足三家情况，按财政部第八十七号令第四十三条的规定执行。</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FF0000"/>
          <w:sz w:val="24"/>
          <w:szCs w:val="24"/>
        </w:rPr>
        <w:t>29.4投标截止后投标人不足3家或者通过资格审查、符合性审查的投标人不足3家的，除采购任务取消情形外，按照以下方式处理：</w:t>
      </w:r>
    </w:p>
    <w:p>
      <w:pPr>
        <w:snapToGrid w:val="0"/>
        <w:spacing w:line="500" w:lineRule="exact"/>
        <w:ind w:firstLine="480" w:firstLineChars="200"/>
        <w:rPr>
          <w:rFonts w:hint="eastAsia" w:ascii="宋体" w:hAnsi="宋体"/>
          <w:bCs/>
          <w:color w:val="auto"/>
          <w:sz w:val="24"/>
          <w:szCs w:val="24"/>
        </w:rPr>
      </w:pPr>
      <w:r>
        <w:rPr>
          <w:rFonts w:hint="eastAsia" w:ascii="宋体" w:hAnsi="宋体"/>
          <w:bCs/>
          <w:color w:val="auto"/>
          <w:sz w:val="24"/>
          <w:szCs w:val="24"/>
        </w:rPr>
        <w:t xml:space="preserve">29.4.1招标文件存在不合理条款或者招标程序不符合规定的，采购人、采购代理机构改正后依法重新招标；    </w:t>
      </w:r>
    </w:p>
    <w:p>
      <w:pPr>
        <w:snapToGrid w:val="0"/>
        <w:spacing w:line="500" w:lineRule="exact"/>
        <w:ind w:firstLine="480" w:firstLineChars="200"/>
        <w:rPr>
          <w:rFonts w:ascii="宋体"/>
          <w:color w:val="auto"/>
          <w:sz w:val="24"/>
          <w:szCs w:val="24"/>
        </w:rPr>
      </w:pPr>
      <w:r>
        <w:rPr>
          <w:rFonts w:hint="eastAsia" w:ascii="宋体" w:hAnsi="宋体"/>
          <w:bCs/>
          <w:color w:val="auto"/>
          <w:sz w:val="24"/>
          <w:szCs w:val="24"/>
        </w:rPr>
        <w:t>29.4.2招标文件没有不合理条款、招标程序符合规定，需要采用其他采购方式采购的，采购人应当依法报财政部门批准。</w:t>
      </w:r>
    </w:p>
    <w:bookmarkEnd w:id="137"/>
    <w:p>
      <w:pPr>
        <w:pStyle w:val="6"/>
        <w:spacing w:before="145" w:beforeLines="50" w:after="145" w:afterLines="50" w:line="360" w:lineRule="auto"/>
        <w:ind w:firstLine="241" w:firstLineChars="100"/>
        <w:rPr>
          <w:rFonts w:hint="eastAsia" w:ascii="宋体" w:hAnsi="宋体" w:eastAsia="宋体" w:cs="Arial"/>
          <w:b/>
          <w:bCs/>
          <w:color w:val="auto"/>
          <w:kern w:val="2"/>
          <w:sz w:val="24"/>
          <w:szCs w:val="24"/>
          <w:lang w:val="en-US" w:eastAsia="zh-CN" w:bidi="ar-SA"/>
        </w:rPr>
      </w:pPr>
      <w:bookmarkStart w:id="138" w:name="_Toc120614219"/>
      <w:r>
        <w:rPr>
          <w:rFonts w:hint="eastAsia" w:ascii="宋体" w:hAnsi="宋体" w:eastAsia="宋体" w:cs="Arial"/>
          <w:b/>
          <w:bCs/>
          <w:color w:val="auto"/>
          <w:kern w:val="2"/>
          <w:sz w:val="24"/>
          <w:szCs w:val="24"/>
          <w:lang w:val="en-US" w:eastAsia="zh-CN" w:bidi="ar-SA"/>
        </w:rPr>
        <w:t>六、定标</w:t>
      </w:r>
      <w:bookmarkEnd w:id="138"/>
    </w:p>
    <w:p>
      <w:pPr>
        <w:pStyle w:val="7"/>
        <w:spacing w:before="0" w:after="0" w:line="240" w:lineRule="auto"/>
        <w:ind w:firstLine="361" w:firstLineChars="150"/>
        <w:rPr>
          <w:rFonts w:hint="eastAsia" w:ascii="黑体" w:hAnsi="宋体" w:cs="Times New Roman"/>
          <w:b w:val="0"/>
          <w:color w:val="000000"/>
          <w:sz w:val="30"/>
          <w:szCs w:val="30"/>
        </w:rPr>
      </w:pPr>
      <w:bookmarkStart w:id="139" w:name="_Toc513029238"/>
      <w:bookmarkStart w:id="140" w:name="_Toc16938554"/>
      <w:bookmarkStart w:id="141" w:name="_Toc20823310"/>
      <w:r>
        <w:rPr>
          <w:rFonts w:hint="eastAsia" w:ascii="宋体" w:hAnsi="宋体" w:eastAsia="宋体" w:cs="Arial"/>
          <w:b/>
          <w:bCs/>
          <w:color w:val="auto"/>
          <w:kern w:val="2"/>
          <w:sz w:val="24"/>
          <w:szCs w:val="24"/>
          <w:lang w:val="en-US" w:eastAsia="zh-CN" w:bidi="ar-SA"/>
        </w:rPr>
        <w:t>30、</w:t>
      </w:r>
      <w:bookmarkEnd w:id="139"/>
      <w:r>
        <w:rPr>
          <w:rFonts w:hint="eastAsia" w:ascii="宋体" w:hAnsi="宋体" w:eastAsia="宋体" w:cs="Arial"/>
          <w:b/>
          <w:bCs/>
          <w:color w:val="auto"/>
          <w:kern w:val="2"/>
          <w:sz w:val="24"/>
          <w:szCs w:val="24"/>
          <w:lang w:val="en-US" w:eastAsia="zh-CN" w:bidi="ar-SA"/>
        </w:rPr>
        <w:t>确定</w:t>
      </w:r>
      <w:bookmarkEnd w:id="140"/>
      <w:bookmarkEnd w:id="141"/>
      <w:r>
        <w:rPr>
          <w:rFonts w:hint="eastAsia" w:ascii="宋体" w:hAnsi="宋体" w:eastAsia="宋体" w:cs="Arial"/>
          <w:b/>
          <w:bCs/>
          <w:color w:val="auto"/>
          <w:kern w:val="2"/>
          <w:sz w:val="24"/>
          <w:szCs w:val="24"/>
          <w:lang w:val="en-US" w:eastAsia="zh-CN" w:bidi="ar-SA"/>
        </w:rPr>
        <w:t>中标单位</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30.1评委会根据本招标文件规定评标方法与评标标准向采购人推荐出中标候选人。</w:t>
      </w:r>
    </w:p>
    <w:p>
      <w:pPr>
        <w:widowControl/>
        <w:spacing w:before="100" w:beforeAutospacing="1" w:after="240" w:line="500" w:lineRule="exact"/>
        <w:ind w:firstLine="480" w:firstLineChars="200"/>
        <w:contextualSpacing/>
        <w:jc w:val="left"/>
        <w:rPr>
          <w:rFonts w:ascii="宋体" w:cs="Arial"/>
          <w:color w:val="000000"/>
          <w:kern w:val="0"/>
          <w:sz w:val="24"/>
          <w:szCs w:val="24"/>
        </w:rPr>
      </w:pPr>
      <w:r>
        <w:rPr>
          <w:rFonts w:hint="eastAsia" w:ascii="宋体" w:hAnsi="宋体"/>
          <w:bCs/>
          <w:color w:val="000000"/>
          <w:sz w:val="24"/>
        </w:rPr>
        <w:t xml:space="preserve">30.2 </w:t>
      </w:r>
      <w:r>
        <w:rPr>
          <w:rFonts w:hint="eastAsia" w:ascii="宋体" w:hAnsi="宋体" w:cs="Arial"/>
          <w:color w:val="000000"/>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color w:val="000000"/>
          <w:sz w:val="24"/>
          <w:szCs w:val="24"/>
        </w:rPr>
      </w:pPr>
      <w:r>
        <w:rPr>
          <w:rFonts w:ascii="宋体" w:hAnsi="宋体"/>
          <w:bCs/>
          <w:color w:val="000000"/>
          <w:sz w:val="24"/>
          <w:szCs w:val="24"/>
        </w:rPr>
        <w:t>30.3</w:t>
      </w:r>
      <w:r>
        <w:rPr>
          <w:rFonts w:hint="eastAsia" w:ascii="宋体" w:hAnsi="宋体" w:cs="Arial"/>
          <w:color w:val="000000"/>
          <w:kern w:val="0"/>
          <w:sz w:val="24"/>
          <w:szCs w:val="24"/>
        </w:rPr>
        <w:t>采购人或者采购代理机构自中标人确定之日起</w:t>
      </w:r>
      <w:r>
        <w:rPr>
          <w:rFonts w:ascii="宋体" w:hAnsi="宋体" w:cs="Arial"/>
          <w:color w:val="000000"/>
          <w:kern w:val="0"/>
          <w:sz w:val="24"/>
          <w:szCs w:val="24"/>
        </w:rPr>
        <w:t>2</w:t>
      </w:r>
      <w:r>
        <w:rPr>
          <w:rFonts w:hint="eastAsia" w:ascii="宋体" w:hAnsi="宋体" w:cs="Arial"/>
          <w:color w:val="000000"/>
          <w:kern w:val="0"/>
          <w:sz w:val="24"/>
          <w:szCs w:val="24"/>
        </w:rPr>
        <w:t>个工作日内，在“盐城市政府采购网”、“盐城市盐都区人民政府网”上公告中标结果</w:t>
      </w:r>
      <w:r>
        <w:rPr>
          <w:rFonts w:hint="eastAsia" w:ascii="宋体" w:hAnsi="宋体"/>
          <w:color w:val="000000"/>
          <w:sz w:val="24"/>
          <w:szCs w:val="24"/>
        </w:rPr>
        <w:t>，公告期限为</w:t>
      </w:r>
      <w:r>
        <w:rPr>
          <w:rFonts w:ascii="宋体" w:hAnsi="宋体"/>
          <w:color w:val="000000"/>
          <w:sz w:val="24"/>
          <w:szCs w:val="24"/>
        </w:rPr>
        <w:t>1</w:t>
      </w:r>
      <w:r>
        <w:rPr>
          <w:rFonts w:hint="eastAsia" w:ascii="宋体" w:hAnsi="宋体"/>
          <w:color w:val="000000"/>
          <w:sz w:val="24"/>
          <w:szCs w:val="24"/>
        </w:rPr>
        <w:t>个工作日。</w:t>
      </w:r>
    </w:p>
    <w:p>
      <w:pPr>
        <w:snapToGrid w:val="0"/>
        <w:spacing w:line="500" w:lineRule="exact"/>
        <w:ind w:firstLine="480" w:firstLineChars="200"/>
        <w:rPr>
          <w:rFonts w:hint="eastAsia" w:ascii="宋体" w:hAnsi="宋体"/>
          <w:color w:val="000000"/>
          <w:sz w:val="24"/>
          <w:szCs w:val="24"/>
        </w:rPr>
      </w:pPr>
      <w:r>
        <w:rPr>
          <w:rFonts w:ascii="宋体" w:hAnsi="宋体"/>
          <w:color w:val="000000"/>
          <w:sz w:val="24"/>
          <w:szCs w:val="24"/>
        </w:rPr>
        <w:t>30.4</w:t>
      </w:r>
      <w:r>
        <w:rPr>
          <w:rFonts w:hint="eastAsia" w:ascii="宋体" w:hAnsi="宋体"/>
          <w:color w:val="000000"/>
          <w:sz w:val="24"/>
          <w:szCs w:val="24"/>
        </w:rPr>
        <w:t>中标人有下列情形之一的，</w:t>
      </w:r>
      <w:r>
        <w:rPr>
          <w:rFonts w:hint="eastAsia" w:ascii="宋体" w:hAnsi="宋体"/>
          <w:sz w:val="24"/>
          <w:szCs w:val="24"/>
        </w:rPr>
        <w:t>一经查实，将被取消中标资格</w:t>
      </w:r>
      <w:r>
        <w:rPr>
          <w:rFonts w:hint="eastAsia" w:ascii="宋体" w:hAnsi="宋体"/>
          <w:color w:val="000000"/>
          <w:sz w:val="24"/>
          <w:szCs w:val="24"/>
        </w:rPr>
        <w:t>并列入不良行为记录，在</w:t>
      </w:r>
      <w:r>
        <w:rPr>
          <w:rFonts w:ascii="宋体" w:hAnsi="宋体"/>
          <w:color w:val="000000"/>
          <w:sz w:val="24"/>
          <w:szCs w:val="24"/>
        </w:rPr>
        <w:t>1</w:t>
      </w:r>
      <w:r>
        <w:rPr>
          <w:rFonts w:hint="eastAsia" w:ascii="宋体" w:hAnsi="宋体"/>
          <w:color w:val="000000"/>
          <w:sz w:val="24"/>
          <w:szCs w:val="24"/>
        </w:rPr>
        <w:t>至</w:t>
      </w:r>
      <w:r>
        <w:rPr>
          <w:rFonts w:ascii="宋体" w:hAnsi="宋体"/>
          <w:color w:val="000000"/>
          <w:sz w:val="24"/>
          <w:szCs w:val="24"/>
        </w:rPr>
        <w:t>3</w:t>
      </w:r>
      <w:r>
        <w:rPr>
          <w:rFonts w:hint="eastAsia" w:ascii="宋体" w:hAnsi="宋体"/>
          <w:color w:val="000000"/>
          <w:sz w:val="24"/>
          <w:szCs w:val="24"/>
        </w:rPr>
        <w:t>年内禁止参加盐都区政府采购活动：</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30.4.1提供虚假材料谋取中标的；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30.4.2向采购人、采购中心行贿或者提供其他不正当利益的；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30.4.3恶意竞争，投标总报价明显低于其自身合理成本且又无法提供证明的；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30.4.4属于本文件规定的无效条件，但在评标过程中又未被评委会发现的；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30.4.5与采购人或者其他供应商恶意串通的；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30.4.6采取不正当手段诋毁、排挤其他供应商的；</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30.4.7不符合法律、法规的规定的。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30.5.</w:t>
      </w:r>
      <w:r>
        <w:rPr>
          <w:rFonts w:hint="eastAsia"/>
          <w:color w:val="000000"/>
        </w:rPr>
        <w:t xml:space="preserve"> </w:t>
      </w:r>
      <w:r>
        <w:rPr>
          <w:rFonts w:hAnsi="宋体" w:cs="宋体"/>
          <w:color w:val="000000"/>
          <w:kern w:val="0"/>
          <w:sz w:val="24"/>
          <w:szCs w:val="24"/>
        </w:rPr>
        <w:t>有下列情形之一的，</w:t>
      </w:r>
      <w:r>
        <w:rPr>
          <w:rFonts w:hint="eastAsia" w:hAnsi="宋体" w:cs="宋体"/>
          <w:color w:val="000000"/>
          <w:kern w:val="0"/>
          <w:sz w:val="24"/>
          <w:szCs w:val="24"/>
        </w:rPr>
        <w:t>视为投标人</w:t>
      </w:r>
      <w:r>
        <w:rPr>
          <w:rFonts w:hAnsi="宋体" w:cs="宋体"/>
          <w:color w:val="000000"/>
          <w:kern w:val="0"/>
          <w:sz w:val="24"/>
          <w:szCs w:val="24"/>
        </w:rPr>
        <w:t>串通</w:t>
      </w:r>
      <w:r>
        <w:rPr>
          <w:rFonts w:hint="eastAsia" w:hAnsi="宋体" w:cs="宋体"/>
          <w:color w:val="000000"/>
          <w:kern w:val="0"/>
          <w:sz w:val="24"/>
          <w:szCs w:val="24"/>
        </w:rPr>
        <w:t>投标，投标无效：</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30.5.1不同投标人的投标文件由同一单位或者个人编制。</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30.5.2不同投标人委托同一单位或者个人办理投标事宜。</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30.5.3 不同投标人的投标文件载明的项目管理成员或者联系人员为同一人。</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30.5.4不同投标人的投标文件异常一致或者投标报价呈规律性差异。</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30.5.5不同投标人的投标文件相互混装。</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lang w:val="en-US" w:eastAsia="zh-CN"/>
        </w:rPr>
        <w:t>30.6</w:t>
      </w:r>
      <w:r>
        <w:rPr>
          <w:rFonts w:hint="eastAsia" w:ascii="宋体" w:hAnsi="宋体" w:cs="宋体"/>
          <w:color w:val="000000"/>
          <w:kern w:val="0"/>
          <w:sz w:val="24"/>
          <w:szCs w:val="24"/>
        </w:rPr>
        <w:t>有下列情形之一的，属于恶意串通：</w:t>
      </w:r>
    </w:p>
    <w:p>
      <w:pPr>
        <w:snapToGrid w:val="0"/>
        <w:spacing w:line="500" w:lineRule="exact"/>
        <w:ind w:firstLine="480" w:firstLineChars="200"/>
        <w:rPr>
          <w:rFonts w:ascii="宋体"/>
          <w:color w:val="000000"/>
          <w:sz w:val="24"/>
          <w:szCs w:val="24"/>
        </w:rPr>
      </w:pPr>
      <w:r>
        <w:rPr>
          <w:rFonts w:ascii="宋体" w:hAnsi="宋体"/>
          <w:color w:val="000000"/>
          <w:sz w:val="24"/>
          <w:szCs w:val="24"/>
        </w:rPr>
        <w:t>30.6.1</w:t>
      </w:r>
      <w:r>
        <w:rPr>
          <w:rFonts w:hint="eastAsia" w:ascii="宋体" w:hAnsi="宋体" w:cs="宋体"/>
          <w:color w:val="000000"/>
          <w:kern w:val="0"/>
          <w:sz w:val="24"/>
          <w:szCs w:val="24"/>
        </w:rPr>
        <w:t>投标人直接或者间接从采购人或者采购代理机构处获得其他投标人的相关情况并修改其投标文件；</w:t>
      </w:r>
    </w:p>
    <w:p>
      <w:pPr>
        <w:snapToGrid w:val="0"/>
        <w:spacing w:line="500" w:lineRule="exact"/>
        <w:ind w:firstLine="480" w:firstLineChars="200"/>
        <w:rPr>
          <w:rFonts w:ascii="宋体"/>
          <w:color w:val="000000"/>
          <w:sz w:val="24"/>
          <w:szCs w:val="24"/>
        </w:rPr>
      </w:pPr>
      <w:r>
        <w:rPr>
          <w:rFonts w:ascii="宋体" w:hAnsi="宋体"/>
          <w:color w:val="000000"/>
          <w:sz w:val="24"/>
          <w:szCs w:val="24"/>
        </w:rPr>
        <w:t>30.6.2</w:t>
      </w:r>
      <w:r>
        <w:rPr>
          <w:rFonts w:hint="eastAsia" w:ascii="宋体" w:hAnsi="宋体" w:cs="宋体"/>
          <w:color w:val="000000"/>
          <w:kern w:val="0"/>
          <w:sz w:val="24"/>
          <w:szCs w:val="24"/>
        </w:rPr>
        <w:t>投标人按照采购人或者采购代理机构的授意撤换、修改投标文件；</w:t>
      </w:r>
    </w:p>
    <w:p>
      <w:pPr>
        <w:snapToGrid w:val="0"/>
        <w:spacing w:line="500" w:lineRule="exact"/>
        <w:ind w:firstLine="480" w:firstLineChars="200"/>
        <w:rPr>
          <w:rFonts w:ascii="宋体"/>
          <w:color w:val="000000"/>
          <w:sz w:val="24"/>
          <w:szCs w:val="24"/>
        </w:rPr>
      </w:pPr>
      <w:r>
        <w:rPr>
          <w:rFonts w:ascii="宋体" w:hAnsi="宋体"/>
          <w:color w:val="000000"/>
          <w:sz w:val="24"/>
          <w:szCs w:val="24"/>
        </w:rPr>
        <w:t>30.6.3</w:t>
      </w:r>
      <w:r>
        <w:rPr>
          <w:rFonts w:hint="eastAsia" w:ascii="宋体" w:hAnsi="宋体" w:cs="宋体"/>
          <w:color w:val="000000"/>
          <w:kern w:val="0"/>
          <w:sz w:val="24"/>
          <w:szCs w:val="24"/>
        </w:rPr>
        <w:t>投标人之间协商报价、技术方案等投标文件的实质性内容；</w:t>
      </w:r>
    </w:p>
    <w:p>
      <w:pPr>
        <w:snapToGrid w:val="0"/>
        <w:spacing w:line="500" w:lineRule="exact"/>
        <w:ind w:firstLine="480" w:firstLineChars="200"/>
        <w:rPr>
          <w:rFonts w:ascii="宋体"/>
          <w:color w:val="000000"/>
          <w:sz w:val="24"/>
          <w:szCs w:val="24"/>
        </w:rPr>
      </w:pPr>
      <w:r>
        <w:rPr>
          <w:rFonts w:ascii="宋体" w:hAnsi="宋体"/>
          <w:color w:val="000000"/>
          <w:sz w:val="24"/>
          <w:szCs w:val="24"/>
        </w:rPr>
        <w:t>30.6.4</w:t>
      </w:r>
      <w:r>
        <w:rPr>
          <w:rFonts w:hint="eastAsia" w:ascii="宋体" w:hAnsi="宋体" w:cs="宋体"/>
          <w:color w:val="000000"/>
          <w:kern w:val="0"/>
          <w:sz w:val="24"/>
          <w:szCs w:val="24"/>
        </w:rPr>
        <w:t>属于同一集团、协会、商会等组织成员的投标人按照该组织要求协同参加政府采购活动；</w:t>
      </w:r>
    </w:p>
    <w:p>
      <w:pPr>
        <w:snapToGrid w:val="0"/>
        <w:spacing w:line="500" w:lineRule="exact"/>
        <w:ind w:firstLine="480" w:firstLineChars="200"/>
        <w:rPr>
          <w:rFonts w:ascii="宋体"/>
          <w:color w:val="000000"/>
          <w:sz w:val="24"/>
          <w:szCs w:val="24"/>
        </w:rPr>
      </w:pPr>
      <w:r>
        <w:rPr>
          <w:rFonts w:ascii="宋体" w:hAnsi="宋体"/>
          <w:color w:val="000000"/>
          <w:sz w:val="24"/>
          <w:szCs w:val="24"/>
        </w:rPr>
        <w:t>30.6.5</w:t>
      </w:r>
      <w:r>
        <w:rPr>
          <w:rFonts w:hint="eastAsia" w:ascii="宋体" w:hAnsi="宋体" w:cs="宋体"/>
          <w:color w:val="000000"/>
          <w:kern w:val="0"/>
          <w:sz w:val="24"/>
          <w:szCs w:val="24"/>
        </w:rPr>
        <w:t>投标人之间事先约定由某一特定投标人中标；</w:t>
      </w:r>
    </w:p>
    <w:p>
      <w:pPr>
        <w:snapToGrid w:val="0"/>
        <w:spacing w:line="500" w:lineRule="exact"/>
        <w:ind w:firstLine="480" w:firstLineChars="200"/>
        <w:rPr>
          <w:rFonts w:ascii="宋体" w:cs="宋体"/>
          <w:color w:val="000000"/>
          <w:kern w:val="0"/>
          <w:sz w:val="24"/>
          <w:szCs w:val="24"/>
        </w:rPr>
      </w:pPr>
      <w:r>
        <w:rPr>
          <w:rFonts w:ascii="宋体" w:hAnsi="宋体"/>
          <w:color w:val="000000"/>
          <w:sz w:val="24"/>
          <w:szCs w:val="24"/>
        </w:rPr>
        <w:t>30.6.6</w:t>
      </w:r>
      <w:r>
        <w:rPr>
          <w:rFonts w:hint="eastAsia" w:ascii="宋体" w:hAnsi="宋体" w:cs="宋体"/>
          <w:color w:val="000000"/>
          <w:kern w:val="0"/>
          <w:sz w:val="24"/>
          <w:szCs w:val="24"/>
        </w:rPr>
        <w:t>投标人之间商定部分投标人放弃参加政府采购活动或者放弃中标；</w:t>
      </w:r>
    </w:p>
    <w:p>
      <w:pPr>
        <w:snapToGrid w:val="0"/>
        <w:spacing w:line="500" w:lineRule="exact"/>
        <w:ind w:firstLine="480" w:firstLineChars="200"/>
        <w:rPr>
          <w:rFonts w:hint="default" w:ascii="宋体" w:hAnsi="宋体" w:eastAsia="宋体"/>
          <w:color w:val="000000"/>
          <w:sz w:val="24"/>
          <w:szCs w:val="24"/>
          <w:lang w:val="en-US" w:eastAsia="zh-CN"/>
        </w:rPr>
      </w:pPr>
      <w:r>
        <w:rPr>
          <w:rFonts w:ascii="宋体" w:hAnsi="宋体"/>
          <w:color w:val="000000"/>
          <w:sz w:val="24"/>
          <w:szCs w:val="24"/>
        </w:rPr>
        <w:t>30.6.7</w:t>
      </w:r>
      <w:r>
        <w:rPr>
          <w:rFonts w:hint="eastAsia" w:ascii="宋体" w:hAnsi="宋体" w:cs="宋体"/>
          <w:color w:val="000000"/>
          <w:kern w:val="0"/>
          <w:sz w:val="24"/>
          <w:szCs w:val="24"/>
        </w:rPr>
        <w:t>投标人与采购人或者采购代理机构之间、投标人相互之间，为谋求特定投标人中标或者排斥其他投标人的其他串通行为。</w:t>
      </w:r>
    </w:p>
    <w:p>
      <w:pPr>
        <w:pStyle w:val="7"/>
        <w:tabs>
          <w:tab w:val="left" w:pos="4120"/>
        </w:tabs>
        <w:spacing w:before="0" w:after="0" w:line="240" w:lineRule="auto"/>
        <w:ind w:firstLine="361" w:firstLineChars="150"/>
        <w:rPr>
          <w:rFonts w:hint="eastAsia" w:ascii="黑体" w:hAnsi="宋体" w:cs="Times New Roman"/>
          <w:b w:val="0"/>
          <w:color w:val="000000"/>
          <w:sz w:val="30"/>
          <w:szCs w:val="30"/>
        </w:rPr>
      </w:pPr>
      <w:r>
        <w:rPr>
          <w:rFonts w:hint="eastAsia" w:ascii="宋体" w:hAnsi="宋体" w:eastAsia="宋体" w:cs="Arial"/>
          <w:b/>
          <w:bCs/>
          <w:color w:val="auto"/>
          <w:kern w:val="2"/>
          <w:sz w:val="24"/>
          <w:szCs w:val="24"/>
          <w:lang w:val="en-US" w:eastAsia="zh-CN" w:bidi="ar-SA"/>
        </w:rPr>
        <w:t>31、质疑处理</w:t>
      </w:r>
      <w:r>
        <w:rPr>
          <w:rFonts w:ascii="黑体" w:hAnsi="宋体" w:cs="Times New Roman"/>
          <w:b w:val="0"/>
          <w:color w:val="000000"/>
          <w:sz w:val="30"/>
          <w:szCs w:val="30"/>
        </w:rPr>
        <w:tab/>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31.1参加投标供应商认为招标文件、采购过程和中标结果使自己的权益受到损害的，可以在知道或应知其权益受到损害之日起七个工作日内，以书面形式向采购中心或采购人提出质疑。上述应知其权益受到损害之日，是指：</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31.1.1</w:t>
      </w:r>
      <w:r>
        <w:rPr>
          <w:rFonts w:hAnsi="宋体" w:cs="宋体"/>
          <w:color w:val="000000"/>
          <w:kern w:val="0"/>
          <w:sz w:val="24"/>
          <w:szCs w:val="24"/>
        </w:rPr>
        <w:t>对可以质疑的</w:t>
      </w:r>
      <w:r>
        <w:rPr>
          <w:rFonts w:hint="eastAsia" w:hAnsi="宋体" w:cs="宋体"/>
          <w:color w:val="000000"/>
          <w:kern w:val="0"/>
          <w:sz w:val="24"/>
          <w:szCs w:val="24"/>
        </w:rPr>
        <w:t>招标</w:t>
      </w:r>
      <w:r>
        <w:rPr>
          <w:rFonts w:hAnsi="宋体" w:cs="宋体"/>
          <w:color w:val="000000"/>
          <w:kern w:val="0"/>
          <w:sz w:val="24"/>
          <w:szCs w:val="24"/>
        </w:rPr>
        <w:t>文件提出质疑的，为收到</w:t>
      </w:r>
      <w:r>
        <w:rPr>
          <w:rFonts w:hint="eastAsia" w:hAnsi="宋体" w:cs="宋体"/>
          <w:color w:val="000000"/>
          <w:kern w:val="0"/>
          <w:sz w:val="24"/>
          <w:szCs w:val="24"/>
        </w:rPr>
        <w:t>招标</w:t>
      </w:r>
      <w:r>
        <w:rPr>
          <w:rFonts w:hAnsi="宋体" w:cs="宋体"/>
          <w:color w:val="000000"/>
          <w:kern w:val="0"/>
          <w:sz w:val="24"/>
          <w:szCs w:val="24"/>
        </w:rPr>
        <w:t>文件之日或者</w:t>
      </w:r>
      <w:r>
        <w:rPr>
          <w:rFonts w:hint="eastAsia" w:hAnsi="宋体" w:cs="宋体"/>
          <w:color w:val="000000"/>
          <w:kern w:val="0"/>
          <w:sz w:val="24"/>
          <w:szCs w:val="24"/>
        </w:rPr>
        <w:t>招标</w:t>
      </w:r>
      <w:r>
        <w:rPr>
          <w:rFonts w:hAnsi="宋体" w:cs="宋体"/>
          <w:color w:val="000000"/>
          <w:kern w:val="0"/>
          <w:sz w:val="24"/>
          <w:szCs w:val="24"/>
        </w:rPr>
        <w:t>文件公告期限届满之日；</w:t>
      </w:r>
      <w:r>
        <w:rPr>
          <w:rFonts w:hAnsi="宋体" w:cs="宋体"/>
          <w:color w:val="000000"/>
          <w:kern w:val="0"/>
          <w:sz w:val="24"/>
          <w:szCs w:val="24"/>
        </w:rPr>
        <w:br w:type="textWrapping"/>
      </w:r>
      <w:r>
        <w:rPr>
          <w:rFonts w:hAnsi="宋体" w:cs="宋体"/>
          <w:color w:val="000000"/>
          <w:kern w:val="0"/>
          <w:sz w:val="24"/>
          <w:szCs w:val="24"/>
        </w:rPr>
        <w:t>　　</w:t>
      </w:r>
      <w:r>
        <w:rPr>
          <w:rFonts w:hint="eastAsia" w:ascii="宋体" w:hAnsi="宋体"/>
          <w:color w:val="000000"/>
          <w:sz w:val="24"/>
          <w:szCs w:val="24"/>
        </w:rPr>
        <w:t>31.1.2</w:t>
      </w:r>
      <w:r>
        <w:rPr>
          <w:rFonts w:hAnsi="宋体" w:cs="宋体"/>
          <w:color w:val="000000"/>
          <w:kern w:val="0"/>
          <w:sz w:val="24"/>
          <w:szCs w:val="24"/>
        </w:rPr>
        <w:t>对采购过程提出质疑的，为各采购程序环节结束之日；</w:t>
      </w:r>
      <w:r>
        <w:rPr>
          <w:rFonts w:hAnsi="宋体" w:cs="宋体"/>
          <w:color w:val="000000"/>
          <w:kern w:val="0"/>
          <w:sz w:val="24"/>
          <w:szCs w:val="24"/>
        </w:rPr>
        <w:br w:type="textWrapping"/>
      </w:r>
      <w:r>
        <w:rPr>
          <w:rFonts w:hAnsi="宋体" w:cs="宋体"/>
          <w:color w:val="000000"/>
          <w:kern w:val="0"/>
          <w:sz w:val="24"/>
          <w:szCs w:val="24"/>
        </w:rPr>
        <w:t>　　</w:t>
      </w:r>
      <w:r>
        <w:rPr>
          <w:rFonts w:hint="eastAsia" w:ascii="宋体" w:hAnsi="宋体"/>
          <w:color w:val="000000"/>
          <w:sz w:val="24"/>
          <w:szCs w:val="24"/>
        </w:rPr>
        <w:t>31.1.3</w:t>
      </w:r>
      <w:r>
        <w:rPr>
          <w:rFonts w:hAnsi="宋体" w:cs="宋体"/>
          <w:color w:val="000000"/>
          <w:kern w:val="0"/>
          <w:sz w:val="24"/>
          <w:szCs w:val="24"/>
        </w:rPr>
        <w:t>对中标结果提出质疑的，为中标结果公告期限届满之日。</w:t>
      </w:r>
    </w:p>
    <w:p>
      <w:pPr>
        <w:snapToGrid w:val="0"/>
        <w:spacing w:line="480" w:lineRule="exact"/>
        <w:ind w:firstLine="472" w:firstLineChars="197"/>
        <w:rPr>
          <w:rFonts w:hint="eastAsia" w:ascii="宋体" w:hAnsi="宋体"/>
          <w:color w:val="000000"/>
          <w:sz w:val="24"/>
          <w:szCs w:val="24"/>
        </w:rPr>
      </w:pPr>
      <w:r>
        <w:rPr>
          <w:rFonts w:hint="eastAsia" w:ascii="宋体" w:hAnsi="宋体"/>
          <w:color w:val="000000"/>
          <w:sz w:val="24"/>
          <w:szCs w:val="24"/>
        </w:rPr>
        <w:t>31.2质疑必须按《政府采购法》、《政府采购法实施条例》及《江苏省政府采购供应商监督管理暂行办法》的相关规定提交，未按上述要求提交的质疑函（含传真、电子邮件等）采购中心有权不予受理。</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31.3未参加投标活动的供应商或在投标活动中自身权益未受到损害的供应商所提出的质疑不予受理。</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31.4质疑函应当包括下列内容：</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31.4.1质疑投标人的名称、地址、邮编、联系人、联系电话；</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31.4.2具体的质疑事项及明确的请求；</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31.4.3认为自己合法权益受到损害或可能受到损害的相关证据材料；</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31.4.4提起质疑的日期；</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31.4.5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adjustRightInd w:val="0"/>
        <w:spacing w:line="500" w:lineRule="exact"/>
        <w:rPr>
          <w:rFonts w:hint="eastAsia" w:ascii="宋体" w:hAnsi="宋体"/>
          <w:color w:val="000000"/>
          <w:sz w:val="24"/>
          <w:szCs w:val="24"/>
        </w:rPr>
      </w:pP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宋体" w:hAnsi="宋体"/>
          <w:color w:val="FF0000"/>
          <w:sz w:val="24"/>
          <w:szCs w:val="24"/>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31.5采购人、采购代理机构收到质疑函后，将对质疑的形式和内容进行审查，如质疑函内容、格式不符合规定，采购人、采购代理机构将告知质疑人进行补正。</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31.6质疑人应当在法定质疑期限内进行补正并重新提交质疑函，拒不补正或者在法定期限内未重新提交质疑函的，为无效质疑，采购人、采购代理机构将不予受理。</w:t>
      </w:r>
    </w:p>
    <w:p>
      <w:pPr>
        <w:snapToGrid w:val="0"/>
        <w:spacing w:line="480" w:lineRule="exact"/>
        <w:ind w:firstLine="468" w:firstLineChars="195"/>
        <w:rPr>
          <w:rFonts w:hint="eastAsia" w:ascii="宋体" w:hAnsi="宋体"/>
          <w:color w:val="000000"/>
          <w:sz w:val="24"/>
          <w:szCs w:val="24"/>
        </w:rPr>
      </w:pPr>
      <w:r>
        <w:rPr>
          <w:rFonts w:hint="eastAsia" w:ascii="宋体" w:hAnsi="宋体"/>
          <w:color w:val="000000"/>
          <w:sz w:val="24"/>
          <w:szCs w:val="24"/>
        </w:rPr>
        <w:t>31.7对于内容、格式符合规定的质疑函，采购人、采购代理机构应当在收到投标投标人的书面质疑后七个工作日内作出答复，并以书面形式通知质疑人和其他相关投标人，但答复的内容不得涉及商业秘密。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hint="eastAsia" w:ascii="宋体" w:hAnsi="宋体"/>
          <w:color w:val="000000"/>
          <w:sz w:val="24"/>
          <w:szCs w:val="24"/>
        </w:rPr>
      </w:pPr>
      <w:r>
        <w:rPr>
          <w:rFonts w:hint="eastAsia" w:ascii="宋体" w:hAnsi="宋体"/>
          <w:color w:val="000000"/>
          <w:sz w:val="24"/>
          <w:szCs w:val="24"/>
        </w:rPr>
        <w:t>31.8投标人提出书面质疑必须有理、有据，不得恶意质疑或提交虚假质疑。否则，一经查实，采购人有权依据政府采购的有关规定，报请政府采购监管部门对该投标人进行相应的行政处罚。</w:t>
      </w:r>
    </w:p>
    <w:p>
      <w:pPr>
        <w:pStyle w:val="7"/>
        <w:spacing w:before="0" w:after="0" w:line="240" w:lineRule="auto"/>
        <w:ind w:firstLine="361" w:firstLineChars="150"/>
        <w:rPr>
          <w:rFonts w:hint="eastAsia" w:ascii="黑体" w:hAnsi="宋体" w:cs="Times New Roman"/>
          <w:b w:val="0"/>
          <w:color w:val="000000"/>
          <w:sz w:val="30"/>
          <w:szCs w:val="30"/>
        </w:rPr>
      </w:pPr>
      <w:r>
        <w:rPr>
          <w:rFonts w:hint="eastAsia" w:ascii="宋体" w:hAnsi="宋体" w:eastAsia="宋体" w:cs="Arial"/>
          <w:b/>
          <w:bCs/>
          <w:color w:val="auto"/>
          <w:kern w:val="2"/>
          <w:sz w:val="24"/>
          <w:szCs w:val="24"/>
          <w:lang w:val="en-US" w:eastAsia="zh-CN" w:bidi="ar-SA"/>
        </w:rPr>
        <w:t>32、中标通知书</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32.l</w:t>
      </w:r>
      <w:r>
        <w:rPr>
          <w:rFonts w:hint="eastAsia" w:ascii="宋体" w:hAnsi="宋体"/>
          <w:b/>
          <w:color w:val="000000"/>
          <w:sz w:val="24"/>
          <w:szCs w:val="24"/>
        </w:rPr>
        <w:t xml:space="preserve"> </w:t>
      </w:r>
      <w:r>
        <w:rPr>
          <w:rFonts w:hint="eastAsia" w:ascii="宋体" w:hAnsi="宋体"/>
          <w:color w:val="000000"/>
          <w:sz w:val="24"/>
          <w:szCs w:val="24"/>
        </w:rPr>
        <w:t>中标结果确定后，采购中心将向中标供应商发出中标通知书。</w:t>
      </w:r>
    </w:p>
    <w:p>
      <w:pPr>
        <w:snapToGrid w:val="0"/>
        <w:spacing w:line="50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 xml:space="preserve">32.2 </w:t>
      </w:r>
      <w:r>
        <w:rPr>
          <w:rFonts w:hint="eastAsia" w:ascii="宋体" w:hAnsi="宋体"/>
          <w:color w:val="000000"/>
          <w:sz w:val="24"/>
          <w:szCs w:val="24"/>
        </w:rPr>
        <w:t>中标人收到中标通知书后，应签字确认中标通知书已收到。若无回复，则公告后视同中标人已经知悉并同意接受。</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32.</w:t>
      </w:r>
      <w:r>
        <w:rPr>
          <w:rFonts w:hint="eastAsia" w:ascii="宋体" w:hAnsi="宋体"/>
          <w:color w:val="000000"/>
          <w:sz w:val="24"/>
          <w:szCs w:val="24"/>
          <w:lang w:val="en-US" w:eastAsia="zh-CN"/>
        </w:rPr>
        <w:t>3</w:t>
      </w:r>
      <w:r>
        <w:rPr>
          <w:rFonts w:hint="eastAsia" w:ascii="宋体" w:hAnsi="宋体"/>
          <w:color w:val="000000"/>
          <w:sz w:val="24"/>
          <w:szCs w:val="24"/>
        </w:rPr>
        <w:t>中标通知书将是合同的一个组成部分。对采购人和中标供应商均具有法律效力。中标通知书发出后，采购人改变中标结果的，或者中标供应商放弃中标项目的，应当依法承担法律责任。</w:t>
      </w:r>
    </w:p>
    <w:p>
      <w:pPr>
        <w:pStyle w:val="6"/>
        <w:spacing w:before="145" w:beforeLines="50" w:after="145" w:afterLines="50" w:line="360" w:lineRule="auto"/>
        <w:ind w:firstLine="241" w:firstLineChars="100"/>
        <w:rPr>
          <w:rFonts w:hint="eastAsia" w:ascii="宋体" w:hAnsi="宋体" w:eastAsia="宋体" w:cs="Arial"/>
          <w:b/>
          <w:bCs/>
          <w:color w:val="auto"/>
          <w:kern w:val="2"/>
          <w:sz w:val="24"/>
          <w:szCs w:val="24"/>
          <w:lang w:val="en-US" w:eastAsia="zh-CN" w:bidi="ar-SA"/>
        </w:rPr>
      </w:pPr>
      <w:bookmarkStart w:id="142" w:name="_Toc120614220"/>
      <w:bookmarkStart w:id="143" w:name="_Toc16938552"/>
      <w:bookmarkStart w:id="144" w:name="_Toc20823308"/>
      <w:bookmarkStart w:id="145" w:name="_Toc513029236"/>
      <w:r>
        <w:rPr>
          <w:rFonts w:hint="eastAsia" w:ascii="宋体" w:hAnsi="宋体" w:eastAsia="宋体" w:cs="Arial"/>
          <w:b/>
          <w:bCs/>
          <w:color w:val="auto"/>
          <w:kern w:val="2"/>
          <w:sz w:val="24"/>
          <w:szCs w:val="24"/>
          <w:lang w:val="en-US" w:eastAsia="zh-CN" w:bidi="ar-SA"/>
        </w:rPr>
        <w:t>七、合同</w:t>
      </w:r>
      <w:bookmarkEnd w:id="142"/>
      <w:r>
        <w:rPr>
          <w:rFonts w:hint="eastAsia" w:ascii="宋体" w:hAnsi="宋体" w:eastAsia="宋体" w:cs="Arial"/>
          <w:b/>
          <w:bCs/>
          <w:color w:val="auto"/>
          <w:kern w:val="2"/>
          <w:sz w:val="24"/>
          <w:szCs w:val="24"/>
          <w:lang w:val="en-US" w:eastAsia="zh-CN" w:bidi="ar-SA"/>
        </w:rPr>
        <w:t>签订相关事项</w:t>
      </w:r>
    </w:p>
    <w:bookmarkEnd w:id="143"/>
    <w:bookmarkEnd w:id="144"/>
    <w:bookmarkEnd w:id="145"/>
    <w:p>
      <w:pPr>
        <w:pStyle w:val="7"/>
        <w:spacing w:before="0" w:after="0" w:line="240" w:lineRule="auto"/>
        <w:ind w:firstLine="361" w:firstLineChars="150"/>
        <w:rPr>
          <w:rFonts w:hint="eastAsia" w:ascii="黑体" w:hAnsi="宋体" w:cs="Times New Roman"/>
          <w:b w:val="0"/>
          <w:color w:val="000000"/>
          <w:sz w:val="30"/>
          <w:szCs w:val="30"/>
        </w:rPr>
      </w:pPr>
      <w:bookmarkStart w:id="146" w:name="_Toc16938553"/>
      <w:bookmarkStart w:id="147" w:name="_Toc20823309"/>
      <w:bookmarkStart w:id="148" w:name="_Toc513029237"/>
      <w:r>
        <w:rPr>
          <w:rFonts w:hint="eastAsia" w:ascii="宋体" w:hAnsi="宋体" w:eastAsia="宋体" w:cs="Arial"/>
          <w:b/>
          <w:bCs/>
          <w:color w:val="auto"/>
          <w:kern w:val="2"/>
          <w:sz w:val="24"/>
          <w:szCs w:val="24"/>
          <w:lang w:val="en-US" w:eastAsia="zh-CN" w:bidi="ar-SA"/>
        </w:rPr>
        <w:t>33. 签订合同</w:t>
      </w:r>
    </w:p>
    <w:p>
      <w:pPr>
        <w:snapToGrid w:val="0"/>
        <w:spacing w:line="480" w:lineRule="exact"/>
        <w:ind w:firstLine="480" w:firstLineChars="200"/>
        <w:rPr>
          <w:rFonts w:hint="eastAsia" w:ascii="宋体" w:hAnsi="宋体"/>
          <w:color w:val="000000"/>
          <w:sz w:val="24"/>
          <w:szCs w:val="24"/>
        </w:rPr>
      </w:pPr>
      <w:r>
        <w:rPr>
          <w:rFonts w:hint="eastAsia" w:ascii="宋体" w:hAnsi="宋体"/>
          <w:bCs/>
          <w:color w:val="000000"/>
          <w:sz w:val="24"/>
          <w:szCs w:val="24"/>
        </w:rPr>
        <w:t>33</w:t>
      </w:r>
      <w:r>
        <w:rPr>
          <w:rFonts w:hint="eastAsia" w:ascii="宋体" w:hAnsi="宋体"/>
          <w:color w:val="000000"/>
          <w:sz w:val="24"/>
          <w:szCs w:val="24"/>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33.2</w:t>
      </w:r>
      <w:r>
        <w:rPr>
          <w:rFonts w:hint="eastAsia" w:ascii="宋体" w:hAnsi="宋体"/>
          <w:b/>
          <w:color w:val="000000"/>
          <w:sz w:val="24"/>
          <w:szCs w:val="24"/>
        </w:rPr>
        <w:t xml:space="preserve"> </w:t>
      </w:r>
      <w:r>
        <w:rPr>
          <w:rFonts w:hint="eastAsia" w:ascii="宋体" w:hAnsi="宋体"/>
          <w:color w:val="000000"/>
          <w:sz w:val="24"/>
          <w:szCs w:val="24"/>
        </w:rPr>
        <w:t>招标文件、中标供应商的投标文件及招标过程中有关澄清、承诺文件均应作为合同附件。</w:t>
      </w:r>
    </w:p>
    <w:p>
      <w:pPr>
        <w:snapToGrid w:val="0"/>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snapToGrid w:val="0"/>
        <w:spacing w:line="480" w:lineRule="exact"/>
        <w:ind w:firstLine="482" w:firstLineChars="200"/>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33.4中标或者成交后无正当理由拒不与采购人签订政府采购合同的，将被列入不良行为记录名单，在一至三年内禁止参加政府采购活动。</w:t>
      </w:r>
    </w:p>
    <w:p>
      <w:pPr>
        <w:pStyle w:val="7"/>
        <w:spacing w:before="0" w:after="0" w:line="240" w:lineRule="auto"/>
        <w:ind w:firstLine="422" w:firstLineChars="150"/>
        <w:rPr>
          <w:rFonts w:hint="eastAsia" w:ascii="宋体" w:hAnsi="宋体" w:eastAsia="宋体" w:cs="Arial"/>
          <w:b/>
          <w:bCs/>
          <w:color w:val="auto"/>
          <w:kern w:val="2"/>
          <w:sz w:val="24"/>
          <w:szCs w:val="24"/>
          <w:lang w:val="en-US" w:eastAsia="zh-CN" w:bidi="ar-SA"/>
        </w:rPr>
      </w:pPr>
      <w:r>
        <w:rPr>
          <w:rFonts w:hint="eastAsia" w:ascii="宋体" w:hAnsi="宋体" w:eastAsia="宋体" w:cs="Arial"/>
          <w:b/>
          <w:bCs/>
          <w:color w:val="auto"/>
          <w:kern w:val="2"/>
          <w:sz w:val="28"/>
          <w:szCs w:val="28"/>
          <w:lang w:val="en-US" w:eastAsia="zh-CN" w:bidi="ar-SA"/>
        </w:rPr>
        <w:t>34、货物和服务的追加、减少和添购。</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80" w:lineRule="exact"/>
        <w:ind w:firstLine="600" w:firstLineChars="250"/>
        <w:rPr>
          <w:rFonts w:hint="eastAsia" w:ascii="宋体" w:hAnsi="宋体"/>
          <w:b/>
          <w:color w:val="000000"/>
          <w:sz w:val="24"/>
          <w:szCs w:val="24"/>
        </w:rPr>
      </w:pPr>
      <w:r>
        <w:rPr>
          <w:rFonts w:hint="eastAsia" w:ascii="宋体" w:hAnsi="宋体"/>
          <w:color w:val="000000"/>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46"/>
    <w:bookmarkEnd w:id="147"/>
    <w:bookmarkEnd w:id="148"/>
    <w:p>
      <w:pPr>
        <w:tabs>
          <w:tab w:val="left" w:pos="900"/>
        </w:tabs>
        <w:spacing w:after="145" w:afterLines="50" w:line="560" w:lineRule="exact"/>
        <w:ind w:firstLine="422" w:firstLineChars="150"/>
        <w:rPr>
          <w:rFonts w:hint="eastAsia" w:ascii="黑体" w:hAnsi="宋体" w:eastAsia="黑体"/>
          <w:bCs/>
          <w:color w:val="000000"/>
          <w:sz w:val="30"/>
          <w:szCs w:val="30"/>
        </w:rPr>
      </w:pPr>
      <w:r>
        <w:rPr>
          <w:rFonts w:hint="eastAsia" w:ascii="宋体" w:hAnsi="宋体" w:eastAsia="宋体" w:cs="Arial"/>
          <w:b/>
          <w:bCs/>
          <w:color w:val="auto"/>
          <w:kern w:val="2"/>
          <w:sz w:val="28"/>
          <w:szCs w:val="28"/>
          <w:lang w:val="en-US" w:eastAsia="zh-CN" w:bidi="ar-SA"/>
        </w:rPr>
        <w:t>35、履约保证金</w:t>
      </w:r>
    </w:p>
    <w:p>
      <w:pPr>
        <w:tabs>
          <w:tab w:val="left" w:pos="900"/>
        </w:tabs>
        <w:spacing w:after="145" w:afterLines="50" w:line="560" w:lineRule="exact"/>
        <w:ind w:firstLine="480" w:firstLineChars="200"/>
        <w:rPr>
          <w:rFonts w:hint="eastAsia" w:ascii="宋体" w:hAnsi="宋体"/>
          <w:color w:val="000000"/>
          <w:sz w:val="24"/>
        </w:rPr>
      </w:pPr>
      <w:r>
        <w:rPr>
          <w:rFonts w:hint="eastAsia" w:ascii="宋体" w:hAnsi="宋体"/>
          <w:color w:val="000000"/>
          <w:sz w:val="24"/>
        </w:rPr>
        <w:t>在签订合同时，须向采购人交纳履约保证金,于合同履行后无息退还。履约保证金用以约束成交供应商在合同履行中的行为，弥补合同执行中由于自身行为可能给采购人带来的各种损失。鼓励采购人对AA评级及以上政府采购供应商（需提供信用管理部门备案的第三方信用报告），免收履约保证金或降低履约保证金缴纳比例。</w:t>
      </w:r>
    </w:p>
    <w:p>
      <w:pPr>
        <w:tabs>
          <w:tab w:val="left" w:pos="900"/>
        </w:tabs>
        <w:spacing w:after="145" w:afterLines="50" w:line="560" w:lineRule="exact"/>
        <w:ind w:firstLine="480" w:firstLineChars="200"/>
        <w:rPr>
          <w:rFonts w:ascii="宋体" w:hAnsi="宋体"/>
          <w:color w:val="auto"/>
          <w:sz w:val="24"/>
        </w:rPr>
      </w:pPr>
    </w:p>
    <w:p>
      <w:pPr>
        <w:pStyle w:val="2"/>
        <w:ind w:left="0" w:leftChars="0" w:firstLine="0" w:firstLineChars="0"/>
        <w:rPr>
          <w:rFonts w:ascii="宋体" w:hAnsi="宋体"/>
          <w:color w:val="auto"/>
          <w:sz w:val="24"/>
        </w:rPr>
      </w:pPr>
    </w:p>
    <w:p>
      <w:pPr>
        <w:tabs>
          <w:tab w:val="left" w:pos="900"/>
        </w:tabs>
        <w:spacing w:afterLines="50" w:line="500" w:lineRule="exact"/>
        <w:ind w:firstLine="719" w:firstLineChars="199"/>
        <w:jc w:val="center"/>
        <w:rPr>
          <w:rFonts w:ascii="宋体"/>
          <w:b/>
          <w:color w:val="auto"/>
          <w:sz w:val="24"/>
          <w:szCs w:val="24"/>
        </w:rPr>
      </w:pPr>
      <w:r>
        <w:rPr>
          <w:rFonts w:hint="eastAsia" w:ascii="宋体" w:hAnsi="宋体"/>
          <w:b/>
          <w:bCs/>
          <w:color w:val="auto"/>
          <w:sz w:val="36"/>
          <w:szCs w:val="36"/>
        </w:rPr>
        <w:t>第三章  合同条款及</w:t>
      </w:r>
      <w:bookmarkEnd w:id="52"/>
      <w:bookmarkEnd w:id="53"/>
      <w:bookmarkEnd w:id="54"/>
      <w:bookmarkEnd w:id="55"/>
      <w:bookmarkEnd w:id="56"/>
      <w:r>
        <w:rPr>
          <w:rFonts w:hint="eastAsia" w:ascii="宋体" w:hAnsi="宋体"/>
          <w:b/>
          <w:bCs/>
          <w:color w:val="auto"/>
          <w:sz w:val="36"/>
          <w:szCs w:val="36"/>
        </w:rPr>
        <w:t>格式</w:t>
      </w:r>
    </w:p>
    <w:p>
      <w:pPr>
        <w:spacing w:line="500" w:lineRule="exact"/>
        <w:ind w:firstLine="480" w:firstLineChars="200"/>
        <w:rPr>
          <w:rFonts w:ascii="宋体"/>
          <w:bCs/>
          <w:color w:val="auto"/>
          <w:sz w:val="24"/>
          <w:szCs w:val="24"/>
        </w:rPr>
      </w:pPr>
      <w:bookmarkStart w:id="149" w:name="_Toc513029243"/>
      <w:bookmarkStart w:id="150" w:name="_Toc20823315"/>
      <w:bookmarkStart w:id="151" w:name="_Toc16938559"/>
      <w:r>
        <w:rPr>
          <w:rFonts w:hint="eastAsia" w:ascii="宋体" w:hAnsi="宋体"/>
          <w:bCs/>
          <w:color w:val="auto"/>
          <w:sz w:val="24"/>
          <w:szCs w:val="24"/>
        </w:rPr>
        <w:t>以下为中标后签定本项目合同的通用条款，中标人不得提出实质性的修改，关于专用条款将由采购人与中标人结合本项目具体情况协商后签订。</w:t>
      </w:r>
    </w:p>
    <w:p>
      <w:pPr>
        <w:snapToGrid w:val="0"/>
        <w:spacing w:beforeLines="50" w:afterLines="50" w:line="500" w:lineRule="exact"/>
        <w:jc w:val="center"/>
        <w:outlineLvl w:val="0"/>
        <w:rPr>
          <w:rFonts w:ascii="宋体"/>
          <w:b/>
          <w:bCs/>
          <w:color w:val="auto"/>
          <w:sz w:val="24"/>
          <w:szCs w:val="24"/>
        </w:rPr>
      </w:pPr>
      <w:r>
        <w:rPr>
          <w:rFonts w:hint="eastAsia" w:ascii="宋体" w:hAnsi="宋体"/>
          <w:b/>
          <w:color w:val="auto"/>
          <w:sz w:val="24"/>
          <w:szCs w:val="24"/>
        </w:rPr>
        <w:t>政府采购合同（合同编号）</w:t>
      </w:r>
    </w:p>
    <w:p>
      <w:pPr>
        <w:pStyle w:val="23"/>
        <w:snapToGrid w:val="0"/>
        <w:spacing w:before="120" w:after="120" w:line="500" w:lineRule="exact"/>
        <w:rPr>
          <w:rFonts w:hint="eastAsia" w:hAnsi="宋体" w:eastAsia="宋体"/>
          <w:color w:val="auto"/>
          <w:sz w:val="24"/>
          <w:szCs w:val="24"/>
          <w:lang w:eastAsia="zh-CN"/>
        </w:rPr>
      </w:pPr>
      <w:r>
        <w:rPr>
          <w:rFonts w:hint="eastAsia" w:hAnsi="宋体"/>
          <w:color w:val="auto"/>
          <w:sz w:val="24"/>
          <w:szCs w:val="24"/>
        </w:rPr>
        <w:t>项目名称：</w:t>
      </w:r>
      <w:r>
        <w:rPr>
          <w:rFonts w:hint="eastAsia" w:hAnsi="宋体"/>
          <w:color w:val="auto"/>
          <w:sz w:val="24"/>
          <w:szCs w:val="24"/>
          <w:lang w:eastAsia="zh-CN"/>
        </w:rPr>
        <w:t>碧水嘉苑、馨隆花苑、云溪美地、朗达壹号院等八个小区安装电瓶车禁入电梯预警监测系统</w:t>
      </w:r>
    </w:p>
    <w:p>
      <w:pPr>
        <w:pStyle w:val="23"/>
        <w:snapToGrid w:val="0"/>
        <w:spacing w:before="120" w:after="120" w:line="500" w:lineRule="exact"/>
        <w:rPr>
          <w:rFonts w:hint="default" w:hAnsi="宋体" w:eastAsia="宋体"/>
          <w:color w:val="auto"/>
          <w:sz w:val="24"/>
          <w:szCs w:val="24"/>
          <w:lang w:val="en-US" w:eastAsia="zh-CN"/>
        </w:rPr>
      </w:pPr>
      <w:r>
        <w:rPr>
          <w:rFonts w:hint="eastAsia" w:hAnsi="宋体"/>
          <w:color w:val="auto"/>
          <w:sz w:val="24"/>
          <w:szCs w:val="24"/>
        </w:rPr>
        <w:t>项目编号：YDZC  202</w:t>
      </w:r>
      <w:r>
        <w:rPr>
          <w:rFonts w:hint="eastAsia" w:hAnsi="宋体"/>
          <w:color w:val="auto"/>
          <w:sz w:val="24"/>
          <w:szCs w:val="24"/>
          <w:lang w:val="en-US" w:eastAsia="zh-CN"/>
        </w:rPr>
        <w:t>1</w:t>
      </w:r>
      <w:r>
        <w:rPr>
          <w:rFonts w:hint="eastAsia" w:hAnsi="宋体"/>
          <w:color w:val="auto"/>
          <w:sz w:val="24"/>
          <w:szCs w:val="24"/>
        </w:rPr>
        <w:t>-</w:t>
      </w:r>
      <w:r>
        <w:rPr>
          <w:rFonts w:hint="eastAsia" w:hAnsi="宋体"/>
          <w:color w:val="auto"/>
          <w:sz w:val="24"/>
          <w:szCs w:val="24"/>
          <w:lang w:val="en-US" w:eastAsia="zh-CN"/>
        </w:rPr>
        <w:t>FS</w:t>
      </w:r>
    </w:p>
    <w:p>
      <w:pPr>
        <w:pStyle w:val="23"/>
        <w:snapToGrid w:val="0"/>
        <w:spacing w:before="120" w:after="120" w:line="500" w:lineRule="exact"/>
        <w:rPr>
          <w:rFonts w:hint="eastAsia" w:hAnsi="宋体" w:eastAsia="宋体"/>
          <w:color w:val="auto"/>
          <w:sz w:val="24"/>
          <w:szCs w:val="24"/>
          <w:lang w:eastAsia="zh-CN"/>
        </w:rPr>
      </w:pPr>
      <w:r>
        <w:rPr>
          <w:rFonts w:hint="eastAsia" w:hAnsi="宋体"/>
          <w:color w:val="auto"/>
          <w:sz w:val="24"/>
          <w:szCs w:val="24"/>
        </w:rPr>
        <w:t>甲方：（买方）</w:t>
      </w:r>
      <w:r>
        <w:rPr>
          <w:rFonts w:hint="eastAsia" w:hAnsi="宋体"/>
          <w:color w:val="auto"/>
          <w:sz w:val="24"/>
          <w:szCs w:val="24"/>
          <w:u w:val="single"/>
          <w:lang w:eastAsia="zh-CN"/>
        </w:rPr>
        <w:t>盐城市盐都区人民政府盐龙街道办事处</w:t>
      </w:r>
    </w:p>
    <w:p>
      <w:pPr>
        <w:pStyle w:val="23"/>
        <w:snapToGrid w:val="0"/>
        <w:spacing w:before="120" w:after="120" w:line="500" w:lineRule="exact"/>
        <w:rPr>
          <w:rFonts w:hAnsi="宋体"/>
          <w:color w:val="auto"/>
          <w:sz w:val="24"/>
          <w:szCs w:val="24"/>
        </w:rPr>
      </w:pPr>
      <w:r>
        <w:rPr>
          <w:rFonts w:hint="eastAsia" w:hAnsi="宋体"/>
          <w:color w:val="auto"/>
          <w:sz w:val="24"/>
          <w:szCs w:val="24"/>
        </w:rPr>
        <w:t>乙方：（卖方）</w:t>
      </w:r>
      <w:r>
        <w:rPr>
          <w:rFonts w:hAnsi="宋体"/>
          <w:color w:val="auto"/>
          <w:sz w:val="24"/>
          <w:szCs w:val="24"/>
        </w:rPr>
        <w:t>_________</w:t>
      </w:r>
    </w:p>
    <w:p>
      <w:pPr>
        <w:pStyle w:val="23"/>
        <w:snapToGrid w:val="0"/>
        <w:spacing w:before="120" w:after="120" w:line="500" w:lineRule="exact"/>
        <w:rPr>
          <w:rFonts w:hAnsi="宋体"/>
          <w:b/>
          <w:color w:val="auto"/>
          <w:sz w:val="24"/>
          <w:szCs w:val="24"/>
        </w:rPr>
      </w:pPr>
      <w:r>
        <w:rPr>
          <w:rFonts w:hint="eastAsia" w:hAnsi="宋体"/>
          <w:color w:val="auto"/>
          <w:sz w:val="24"/>
          <w:szCs w:val="24"/>
        </w:rPr>
        <w:t>甲、乙双方根据</w:t>
      </w:r>
      <w:r>
        <w:rPr>
          <w:rFonts w:hint="eastAsia" w:hAnsi="宋体"/>
          <w:color w:val="auto"/>
          <w:sz w:val="24"/>
          <w:szCs w:val="24"/>
          <w:u w:val="single"/>
          <w:lang w:eastAsia="zh-CN"/>
        </w:rPr>
        <w:t>碧水嘉苑、馨隆花苑、云溪美地、朗达壹号院等八个小区安装电瓶车禁入电梯预警监测系统</w:t>
      </w:r>
      <w:r>
        <w:rPr>
          <w:rFonts w:hint="eastAsia" w:hAnsi="宋体"/>
          <w:color w:val="auto"/>
          <w:sz w:val="24"/>
          <w:szCs w:val="24"/>
        </w:rPr>
        <w:t>公开招标的结果，签署本合同。</w:t>
      </w:r>
    </w:p>
    <w:bookmarkEnd w:id="149"/>
    <w:bookmarkEnd w:id="150"/>
    <w:bookmarkEnd w:id="151"/>
    <w:p>
      <w:pPr>
        <w:pStyle w:val="23"/>
        <w:snapToGrid w:val="0"/>
        <w:spacing w:before="120" w:after="120" w:line="500" w:lineRule="exact"/>
        <w:rPr>
          <w:rFonts w:hAnsi="宋体"/>
          <w:b/>
          <w:color w:val="000000" w:themeColor="text1"/>
          <w:sz w:val="24"/>
          <w:szCs w:val="24"/>
          <w14:textFill>
            <w14:solidFill>
              <w14:schemeClr w14:val="tx1"/>
            </w14:solidFill>
          </w14:textFill>
        </w:rPr>
      </w:pPr>
      <w:bookmarkStart w:id="152" w:name="_Toc120614244"/>
      <w:bookmarkStart w:id="153" w:name="_Toc16938590"/>
      <w:bookmarkStart w:id="154" w:name="_Toc20823346"/>
      <w:bookmarkStart w:id="155" w:name="_Toc462564139"/>
      <w:bookmarkStart w:id="156" w:name="_Toc479757211"/>
      <w:r>
        <w:rPr>
          <w:rFonts w:hint="eastAsia" w:hAnsi="宋体"/>
          <w:b/>
          <w:color w:val="000000" w:themeColor="text1"/>
          <w:sz w:val="24"/>
          <w:szCs w:val="24"/>
          <w14:textFill>
            <w14:solidFill>
              <w14:schemeClr w14:val="tx1"/>
            </w14:solidFill>
          </w14:textFill>
        </w:rPr>
        <w:t>一、货物内容</w:t>
      </w:r>
    </w:p>
    <w:p>
      <w:pPr>
        <w:pStyle w:val="23"/>
        <w:snapToGrid w:val="0"/>
        <w:spacing w:before="120" w:after="120" w:line="500" w:lineRule="exact"/>
        <w:rPr>
          <w:rFonts w:hint="eastAsia" w:hAnsi="宋体" w:eastAsia="宋体"/>
          <w:color w:val="000000" w:themeColor="text1"/>
          <w:sz w:val="24"/>
          <w:szCs w:val="24"/>
          <w:lang w:eastAsia="zh-CN"/>
          <w14:textFill>
            <w14:solidFill>
              <w14:schemeClr w14:val="tx1"/>
            </w14:solidFill>
          </w14:textFill>
        </w:rPr>
      </w:pPr>
      <w:r>
        <w:rPr>
          <w:rFonts w:hAnsi="宋体"/>
          <w:color w:val="000000" w:themeColor="text1"/>
          <w:sz w:val="24"/>
          <w:szCs w:val="24"/>
          <w14:textFill>
            <w14:solidFill>
              <w14:schemeClr w14:val="tx1"/>
            </w14:solidFill>
          </w14:textFill>
        </w:rPr>
        <w:t xml:space="preserve">1.1 </w:t>
      </w:r>
      <w:r>
        <w:rPr>
          <w:rFonts w:hint="eastAsia" w:hAnsi="宋体"/>
          <w:color w:val="000000" w:themeColor="text1"/>
          <w:sz w:val="24"/>
          <w:szCs w:val="24"/>
          <w14:textFill>
            <w14:solidFill>
              <w14:schemeClr w14:val="tx1"/>
            </w14:solidFill>
          </w14:textFill>
        </w:rPr>
        <w:t>货物名称：</w:t>
      </w:r>
      <w:r>
        <w:rPr>
          <w:rFonts w:hint="eastAsia" w:hAnsi="宋体"/>
          <w:color w:val="000000" w:themeColor="text1"/>
          <w:sz w:val="24"/>
          <w:szCs w:val="24"/>
          <w:lang w:eastAsia="zh-CN"/>
          <w14:textFill>
            <w14:solidFill>
              <w14:schemeClr w14:val="tx1"/>
            </w14:solidFill>
          </w14:textFill>
        </w:rPr>
        <w:t>碧水嘉苑、馨隆花苑、云溪美地、朗达壹号院等八个小区安装电瓶车禁入电梯预警监测系统</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1.2 </w:t>
      </w:r>
      <w:r>
        <w:rPr>
          <w:rFonts w:hint="eastAsia" w:hAnsi="宋体"/>
          <w:color w:val="000000" w:themeColor="text1"/>
          <w:sz w:val="24"/>
          <w:szCs w:val="24"/>
          <w14:textFill>
            <w14:solidFill>
              <w14:schemeClr w14:val="tx1"/>
            </w14:solidFill>
          </w14:textFill>
        </w:rPr>
        <w:t>型号规格：</w:t>
      </w:r>
      <w:r>
        <w:rPr>
          <w:rFonts w:hint="eastAsia" w:hAnsi="宋体"/>
          <w:color w:val="000000" w:themeColor="text1"/>
          <w:sz w:val="24"/>
          <w:szCs w:val="24"/>
          <w:lang w:val="en-US" w:eastAsia="zh-CN"/>
          <w14:textFill>
            <w14:solidFill>
              <w14:schemeClr w14:val="tx1"/>
            </w14:solidFill>
          </w14:textFill>
        </w:rPr>
        <w:t>详见清单</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1.3 </w:t>
      </w:r>
      <w:r>
        <w:rPr>
          <w:rFonts w:hint="eastAsia" w:hAnsi="宋体"/>
          <w:color w:val="000000" w:themeColor="text1"/>
          <w:sz w:val="24"/>
          <w:szCs w:val="24"/>
          <w14:textFill>
            <w14:solidFill>
              <w14:schemeClr w14:val="tx1"/>
            </w14:solidFill>
          </w14:textFill>
        </w:rPr>
        <w:t>数量（单位）：</w:t>
      </w:r>
      <w:r>
        <w:rPr>
          <w:rFonts w:hint="eastAsia" w:hAnsi="宋体"/>
          <w:color w:val="000000" w:themeColor="text1"/>
          <w:sz w:val="24"/>
          <w:szCs w:val="24"/>
          <w:lang w:val="en-US" w:eastAsia="zh-CN"/>
          <w14:textFill>
            <w14:solidFill>
              <w14:schemeClr w14:val="tx1"/>
            </w14:solidFill>
          </w14:textFill>
        </w:rPr>
        <w:t>详见清单</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二、合同金额</w:t>
      </w:r>
    </w:p>
    <w:p>
      <w:pPr>
        <w:pStyle w:val="23"/>
        <w:snapToGrid w:val="0"/>
        <w:spacing w:before="120" w:after="120" w:line="500" w:lineRule="exact"/>
        <w:ind w:left="410" w:hanging="410" w:hangingChars="17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2.1 </w:t>
      </w:r>
      <w:r>
        <w:rPr>
          <w:rFonts w:hint="eastAsia" w:hAnsi="宋体"/>
          <w:color w:val="000000" w:themeColor="text1"/>
          <w:sz w:val="24"/>
          <w:szCs w:val="24"/>
          <w14:textFill>
            <w14:solidFill>
              <w14:schemeClr w14:val="tx1"/>
            </w14:solidFill>
          </w14:textFill>
        </w:rPr>
        <w:t>本合同金额为：人民币（大写）</w:t>
      </w:r>
      <w:r>
        <w:rPr>
          <w:rFonts w:hint="eastAsia" w:hAnsi="宋体"/>
          <w:color w:val="000000" w:themeColor="text1"/>
          <w:sz w:val="24"/>
          <w:szCs w:val="24"/>
          <w:u w:val="single"/>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元整</w:t>
      </w:r>
      <w:r>
        <w:rPr>
          <w:rFonts w:hint="eastAsia" w:ascii="新宋体" w:hAnsi="新宋体" w:eastAsia="新宋体"/>
          <w:sz w:val="24"/>
        </w:rPr>
        <w:t>（￥</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hAnsi="宋体"/>
          <w:color w:val="000000" w:themeColor="text1"/>
          <w:sz w:val="24"/>
          <w:szCs w:val="24"/>
          <w14:textFill>
            <w14:solidFill>
              <w14:schemeClr w14:val="tx1"/>
            </w14:solidFill>
          </w14:textFill>
        </w:rPr>
        <w:t>。</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三、技术资料</w:t>
      </w:r>
    </w:p>
    <w:p>
      <w:pPr>
        <w:pStyle w:val="23"/>
        <w:snapToGrid w:val="0"/>
        <w:spacing w:before="120" w:after="120" w:line="500" w:lineRule="exact"/>
        <w:ind w:left="410" w:hanging="410" w:hangingChars="17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3.1</w:t>
      </w:r>
      <w:r>
        <w:rPr>
          <w:rFonts w:hint="eastAsia" w:hAnsi="宋体"/>
          <w:color w:val="000000" w:themeColor="text1"/>
          <w:sz w:val="24"/>
          <w:szCs w:val="24"/>
          <w14:textFill>
            <w14:solidFill>
              <w14:schemeClr w14:val="tx1"/>
            </w14:solidFill>
          </w14:textFill>
        </w:rPr>
        <w:t>乙方应按招标文件规定的时间向甲方提供使用货物的有关技术资料。</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3.2 </w:t>
      </w:r>
      <w:r>
        <w:rPr>
          <w:rFonts w:hint="eastAsia" w:hAnsi="宋体"/>
          <w:color w:val="000000" w:themeColor="text1"/>
          <w:sz w:val="24"/>
          <w:szCs w:val="24"/>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before="120" w:after="120" w:line="500" w:lineRule="exact"/>
        <w:ind w:left="412" w:hanging="412" w:hangingChars="171"/>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四、知识产权</w:t>
      </w:r>
    </w:p>
    <w:p>
      <w:pPr>
        <w:spacing w:line="5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4.1</w:t>
      </w:r>
      <w:r>
        <w:rPr>
          <w:rFonts w:hint="eastAsia" w:ascii="宋体" w:hAnsi="宋体"/>
          <w:color w:val="000000" w:themeColor="text1"/>
          <w:sz w:val="24"/>
          <w:szCs w:val="24"/>
          <w14:textFill>
            <w14:solidFill>
              <w14:schemeClr w14:val="tx1"/>
            </w14:solidFill>
          </w14:textFill>
        </w:rPr>
        <w:t>乙方应保证甲方在使用、接受本合同货物和服务或其任何一部分时不受第三方提出侵犯其专利权、版权、商标权和工业设计权等知识产权的起诉。一旦出现侵权，由乙方负全部责任，因此造成甲方损失的，由乙方承担赔偿责任。</w:t>
      </w:r>
    </w:p>
    <w:p>
      <w:pPr>
        <w:pStyle w:val="23"/>
        <w:snapToGrid w:val="0"/>
        <w:spacing w:before="120" w:after="120" w:line="500" w:lineRule="exact"/>
        <w:rPr>
          <w:rFonts w:hAnsi="宋体"/>
          <w:color w:val="000000" w:themeColor="text1"/>
          <w:sz w:val="24"/>
          <w:szCs w:val="24"/>
          <w:u w:val="single"/>
          <w14:textFill>
            <w14:solidFill>
              <w14:schemeClr w14:val="tx1"/>
            </w14:solidFill>
          </w14:textFill>
        </w:rPr>
      </w:pPr>
      <w:r>
        <w:rPr>
          <w:rFonts w:hint="eastAsia" w:hAnsi="宋体"/>
          <w:b/>
          <w:color w:val="000000" w:themeColor="text1"/>
          <w:sz w:val="24"/>
          <w:szCs w:val="24"/>
          <w14:textFill>
            <w14:solidFill>
              <w14:schemeClr w14:val="tx1"/>
            </w14:solidFill>
          </w14:textFill>
        </w:rPr>
        <w:t>五、产权担保</w:t>
      </w:r>
    </w:p>
    <w:p>
      <w:pPr>
        <w:pStyle w:val="23"/>
        <w:snapToGrid w:val="0"/>
        <w:spacing w:before="120" w:after="120" w:line="500" w:lineRule="exact"/>
        <w:rPr>
          <w:rFonts w:hAnsi="宋体"/>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 xml:space="preserve">5.1 </w:t>
      </w:r>
      <w:r>
        <w:rPr>
          <w:rFonts w:hint="eastAsia" w:hAnsi="宋体"/>
          <w:color w:val="000000" w:themeColor="text1"/>
          <w:sz w:val="24"/>
          <w:szCs w:val="24"/>
          <w14:textFill>
            <w14:solidFill>
              <w14:schemeClr w14:val="tx1"/>
            </w14:solidFill>
          </w14:textFill>
        </w:rPr>
        <w:t>乙方保证所交付的货物的所有权完全属于乙方且无任何抵押、查封等产权瑕疵</w:t>
      </w:r>
      <w:r>
        <w:rPr>
          <w:rFonts w:hint="eastAsia" w:hAnsi="宋体"/>
          <w:color w:val="000000" w:themeColor="text1"/>
          <w:sz w:val="24"/>
          <w:szCs w:val="24"/>
          <w:lang w:eastAsia="zh-CN"/>
          <w14:textFill>
            <w14:solidFill>
              <w14:schemeClr w14:val="tx1"/>
            </w14:solidFill>
          </w14:textFill>
        </w:rPr>
        <w:t>，</w:t>
      </w:r>
      <w:r>
        <w:rPr>
          <w:rFonts w:hint="eastAsia" w:hAnsi="宋体"/>
          <w:color w:val="000000" w:themeColor="text1"/>
          <w:sz w:val="24"/>
          <w:szCs w:val="24"/>
          <w:lang w:val="en-US" w:eastAsia="zh-CN"/>
          <w14:textFill>
            <w14:solidFill>
              <w14:schemeClr w14:val="tx1"/>
            </w14:solidFill>
          </w14:textFill>
        </w:rPr>
        <w:t>因第三人向甲方主张相关权利的，由乙方承担所有责任，因此造成甲方损失的，由乙方负责赔偿。</w:t>
      </w:r>
    </w:p>
    <w:p>
      <w:pPr>
        <w:pStyle w:val="23"/>
        <w:snapToGrid w:val="0"/>
        <w:spacing w:before="120" w:after="120" w:line="500" w:lineRule="exact"/>
        <w:ind w:left="410" w:hanging="410" w:hangingChars="17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六、履约保证金</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6.1</w:t>
      </w:r>
      <w:r>
        <w:rPr>
          <w:rFonts w:hint="eastAsia" w:hAnsi="宋体"/>
          <w:color w:val="000000" w:themeColor="text1"/>
          <w:sz w:val="24"/>
          <w:szCs w:val="24"/>
          <w14:textFill>
            <w14:solidFill>
              <w14:schemeClr w14:val="tx1"/>
            </w14:solidFill>
          </w14:textFill>
        </w:rPr>
        <w:t>乙方交纳人民币（大写）</w:t>
      </w:r>
      <w:r>
        <w:rPr>
          <w:rFonts w:hint="eastAsia" w:hAnsi="宋体"/>
          <w:color w:val="000000" w:themeColor="text1"/>
          <w:sz w:val="24"/>
          <w:szCs w:val="24"/>
          <w:u w:val="single"/>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元整</w:t>
      </w:r>
      <w:r>
        <w:rPr>
          <w:rFonts w:hint="eastAsia" w:ascii="新宋体" w:hAnsi="新宋体" w:eastAsia="新宋体"/>
          <w:sz w:val="24"/>
        </w:rPr>
        <w:t>（￥</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hAnsi="宋体"/>
          <w:color w:val="000000" w:themeColor="text1"/>
          <w:sz w:val="24"/>
          <w:szCs w:val="24"/>
          <w14:textFill>
            <w14:solidFill>
              <w14:schemeClr w14:val="tx1"/>
            </w14:solidFill>
          </w14:textFill>
        </w:rPr>
        <w:t>作为本合同的履约保证金（</w:t>
      </w:r>
      <w:r>
        <w:rPr>
          <w:rFonts w:hint="eastAsia" w:asciiTheme="minorEastAsia" w:hAnsiTheme="minorEastAsia" w:eastAsiaTheme="minorEastAsia" w:cstheme="minorEastAsia"/>
          <w:color w:val="000000" w:themeColor="text1"/>
          <w:sz w:val="24"/>
          <w:szCs w:val="24"/>
          <w14:textFill>
            <w14:solidFill>
              <w14:schemeClr w14:val="tx1"/>
            </w14:solidFill>
          </w14:textFill>
        </w:rPr>
        <w:t>合同金额的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napToGrid w:val="0"/>
        <w:spacing w:beforeLines="50" w:afterLines="50" w:line="500" w:lineRule="exac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七、转包或分包</w:t>
      </w:r>
    </w:p>
    <w:p>
      <w:pPr>
        <w:snapToGrid w:val="0"/>
        <w:spacing w:beforeLines="50" w:afterLines="50" w:line="5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w:t>
      </w:r>
      <w:r>
        <w:rPr>
          <w:rFonts w:hint="eastAsia" w:ascii="宋体" w:hAnsi="宋体"/>
          <w:color w:val="000000" w:themeColor="text1"/>
          <w:sz w:val="24"/>
          <w:szCs w:val="24"/>
          <w14:textFill>
            <w14:solidFill>
              <w14:schemeClr w14:val="tx1"/>
            </w14:solidFill>
          </w14:textFill>
        </w:rPr>
        <w:t>本合同范围的货物，应由乙方直接供应，不得转让他人供应；</w:t>
      </w:r>
    </w:p>
    <w:p>
      <w:pPr>
        <w:snapToGrid w:val="0"/>
        <w:spacing w:beforeLines="50" w:afterLines="50" w:line="5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7.2 </w:t>
      </w:r>
      <w:r>
        <w:rPr>
          <w:rFonts w:hint="eastAsia" w:ascii="宋体" w:hAnsi="宋体"/>
          <w:color w:val="000000" w:themeColor="text1"/>
          <w:sz w:val="24"/>
          <w:szCs w:val="24"/>
          <w14:textFill>
            <w14:solidFill>
              <w14:schemeClr w14:val="tx1"/>
            </w14:solidFill>
          </w14:textFill>
        </w:rPr>
        <w:t>除非得到甲方的书面同意，乙方不得</w:t>
      </w:r>
      <w:r>
        <w:rPr>
          <w:rFonts w:hint="eastAsia" w:ascii="宋体" w:hAnsi="宋体"/>
          <w:color w:val="000000" w:themeColor="text1"/>
          <w:sz w:val="24"/>
          <w:szCs w:val="24"/>
          <w:lang w:val="en-US" w:eastAsia="zh-CN"/>
          <w14:textFill>
            <w14:solidFill>
              <w14:schemeClr w14:val="tx1"/>
            </w14:solidFill>
          </w14:textFill>
        </w:rPr>
        <w:t>将合同约定标的</w:t>
      </w:r>
      <w:r>
        <w:rPr>
          <w:rFonts w:hint="eastAsia" w:ascii="宋体" w:hAnsi="宋体"/>
          <w:color w:val="000000" w:themeColor="text1"/>
          <w:sz w:val="24"/>
          <w:szCs w:val="24"/>
          <w14:textFill>
            <w14:solidFill>
              <w14:schemeClr w14:val="tx1"/>
            </w14:solidFill>
          </w14:textFill>
        </w:rPr>
        <w:t>部分分包给他人供应。</w:t>
      </w:r>
    </w:p>
    <w:p>
      <w:pPr>
        <w:snapToGrid w:val="0"/>
        <w:spacing w:beforeLines="50" w:afterLines="50" w:line="5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7.3</w:t>
      </w:r>
      <w:r>
        <w:rPr>
          <w:rFonts w:hint="eastAsia" w:ascii="宋体" w:hAnsi="宋体"/>
          <w:color w:val="000000" w:themeColor="text1"/>
          <w:sz w:val="24"/>
          <w:szCs w:val="24"/>
          <w14:textFill>
            <w14:solidFill>
              <w14:schemeClr w14:val="tx1"/>
            </w14:solidFill>
          </w14:textFill>
        </w:rPr>
        <w:t>如有转让和未经</w:t>
      </w:r>
      <w:r>
        <w:rPr>
          <w:rFonts w:hint="eastAsia" w:ascii="宋体" w:hAnsi="宋体"/>
          <w:color w:val="000000" w:themeColor="text1"/>
          <w:sz w:val="24"/>
          <w:szCs w:val="24"/>
          <w:lang w:val="en-US" w:eastAsia="zh-CN"/>
          <w14:textFill>
            <w14:solidFill>
              <w14:schemeClr w14:val="tx1"/>
            </w14:solidFill>
          </w14:textFill>
        </w:rPr>
        <w:t>甲方书面同意的分包行</w:t>
      </w:r>
      <w:r>
        <w:rPr>
          <w:rFonts w:hint="eastAsia" w:ascii="宋体" w:hAnsi="宋体"/>
          <w:color w:val="000000" w:themeColor="text1"/>
          <w:sz w:val="24"/>
          <w:szCs w:val="24"/>
          <w14:textFill>
            <w14:solidFill>
              <w14:schemeClr w14:val="tx1"/>
            </w14:solidFill>
          </w14:textFill>
        </w:rPr>
        <w:t>为，甲方有权给予终止合同。</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八、质保期</w:t>
      </w:r>
    </w:p>
    <w:p>
      <w:pPr>
        <w:pStyle w:val="23"/>
        <w:snapToGrid w:val="0"/>
        <w:spacing w:before="120" w:after="120" w:line="500" w:lineRule="exact"/>
        <w:ind w:left="410" w:hanging="410" w:hangingChars="17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8.1 </w:t>
      </w:r>
      <w:r>
        <w:rPr>
          <w:rFonts w:hint="eastAsia" w:hAnsi="宋体"/>
          <w:color w:val="000000" w:themeColor="text1"/>
          <w:sz w:val="24"/>
          <w:szCs w:val="24"/>
          <w14:textFill>
            <w14:solidFill>
              <w14:schemeClr w14:val="tx1"/>
            </w14:solidFill>
          </w14:textFill>
        </w:rPr>
        <w:t>质保期</w:t>
      </w:r>
      <w:r>
        <w:rPr>
          <w:rFonts w:hint="eastAsia" w:hAnsi="宋体"/>
          <w:color w:val="000000" w:themeColor="text1"/>
          <w:sz w:val="24"/>
          <w:szCs w:val="24"/>
          <w:u w:val="single"/>
          <w:lang w:val="en-US" w:eastAsia="zh-CN"/>
          <w14:textFill>
            <w14:solidFill>
              <w14:schemeClr w14:val="tx1"/>
            </w14:solidFill>
          </w14:textFill>
        </w:rPr>
        <w:t xml:space="preserve"> 三 </w:t>
      </w:r>
      <w:r>
        <w:rPr>
          <w:rFonts w:hint="eastAsia" w:hAnsi="宋体"/>
          <w:color w:val="000000" w:themeColor="text1"/>
          <w:sz w:val="24"/>
          <w:szCs w:val="24"/>
          <w14:textFill>
            <w14:solidFill>
              <w14:schemeClr w14:val="tx1"/>
            </w14:solidFill>
          </w14:textFill>
        </w:rPr>
        <w:t>年。（自交货验收合格之日起计）</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九、交货期、交货方式及交货地点</w:t>
      </w:r>
    </w:p>
    <w:p>
      <w:pPr>
        <w:pStyle w:val="23"/>
        <w:snapToGrid w:val="0"/>
        <w:spacing w:before="120" w:after="120" w:line="500" w:lineRule="exact"/>
        <w:rPr>
          <w:rFonts w:hAnsi="宋体"/>
          <w:bCs/>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 xml:space="preserve">9.1 </w:t>
      </w:r>
      <w:r>
        <w:rPr>
          <w:rFonts w:hint="eastAsia" w:hAnsi="宋体"/>
          <w:bCs/>
          <w:color w:val="000000" w:themeColor="text1"/>
          <w:sz w:val="24"/>
          <w:szCs w:val="24"/>
          <w14:textFill>
            <w14:solidFill>
              <w14:schemeClr w14:val="tx1"/>
            </w14:solidFill>
          </w14:textFill>
        </w:rPr>
        <w:t>交货期：</w:t>
      </w:r>
      <w:r>
        <w:rPr>
          <w:rFonts w:hint="eastAsia" w:hAnsi="宋体"/>
          <w:color w:val="000000" w:themeColor="text1"/>
          <w:sz w:val="24"/>
          <w:szCs w:val="24"/>
          <w:u w:val="single"/>
          <w14:textFill>
            <w14:solidFill>
              <w14:schemeClr w14:val="tx1"/>
            </w14:solidFill>
          </w14:textFill>
        </w:rPr>
        <w:t>合同签订后</w:t>
      </w:r>
      <w:r>
        <w:rPr>
          <w:rFonts w:hint="eastAsia" w:hAnsi="宋体"/>
          <w:color w:val="000000" w:themeColor="text1"/>
          <w:sz w:val="24"/>
          <w:szCs w:val="24"/>
          <w:u w:val="single"/>
          <w:lang w:val="en-US" w:eastAsia="zh-CN"/>
          <w14:textFill>
            <w14:solidFill>
              <w14:schemeClr w14:val="tx1"/>
            </w14:solidFill>
          </w14:textFill>
        </w:rPr>
        <w:t>20日</w:t>
      </w:r>
      <w:r>
        <w:rPr>
          <w:rFonts w:hint="eastAsia" w:hAnsi="宋体"/>
          <w:color w:val="000000" w:themeColor="text1"/>
          <w:sz w:val="24"/>
          <w:szCs w:val="24"/>
          <w:u w:val="single"/>
          <w14:textFill>
            <w14:solidFill>
              <w14:schemeClr w14:val="tx1"/>
            </w14:solidFill>
          </w14:textFill>
        </w:rPr>
        <w:t>历天内完成全部设备的供货到场，安装、调试、验收合格后交付甲方使用。</w:t>
      </w:r>
    </w:p>
    <w:p>
      <w:pPr>
        <w:pStyle w:val="23"/>
        <w:snapToGrid w:val="0"/>
        <w:spacing w:before="120" w:after="120" w:line="500" w:lineRule="exact"/>
        <w:rPr>
          <w:rFonts w:hint="default" w:hAnsi="宋体" w:eastAsia="宋体"/>
          <w:bCs/>
          <w:color w:val="000000" w:themeColor="text1"/>
          <w:sz w:val="24"/>
          <w:szCs w:val="24"/>
          <w:lang w:val="en-US" w:eastAsia="zh-CN"/>
          <w14:textFill>
            <w14:solidFill>
              <w14:schemeClr w14:val="tx1"/>
            </w14:solidFill>
          </w14:textFill>
        </w:rPr>
      </w:pPr>
      <w:r>
        <w:rPr>
          <w:rFonts w:hAnsi="宋体"/>
          <w:bCs/>
          <w:color w:val="000000" w:themeColor="text1"/>
          <w:sz w:val="24"/>
          <w:szCs w:val="24"/>
          <w14:textFill>
            <w14:solidFill>
              <w14:schemeClr w14:val="tx1"/>
            </w14:solidFill>
          </w14:textFill>
        </w:rPr>
        <w:t xml:space="preserve">9.2 </w:t>
      </w:r>
      <w:r>
        <w:rPr>
          <w:rFonts w:hint="eastAsia" w:hAnsi="宋体"/>
          <w:bCs/>
          <w:color w:val="000000" w:themeColor="text1"/>
          <w:sz w:val="24"/>
          <w:szCs w:val="24"/>
          <w14:textFill>
            <w14:solidFill>
              <w14:schemeClr w14:val="tx1"/>
            </w14:solidFill>
          </w14:textFill>
        </w:rPr>
        <w:t>交货方式：</w:t>
      </w:r>
      <w:r>
        <w:rPr>
          <w:rFonts w:hint="eastAsia" w:hAnsi="宋体"/>
          <w:color w:val="000000" w:themeColor="text1"/>
          <w:sz w:val="24"/>
          <w:szCs w:val="24"/>
          <w:u w:val="single"/>
          <w:lang w:val="en-US" w:eastAsia="zh-CN"/>
          <w14:textFill>
            <w14:solidFill>
              <w14:schemeClr w14:val="tx1"/>
            </w14:solidFill>
          </w14:textFill>
        </w:rPr>
        <w:t>按照甲方要求和采用保证设备性能的包装要求。设备交货应保证及时性和部件的完整性，全部设备及附件必须在约定时间之前运到现场；若因乙方运输造成任何桥梁、道路等损害而引起纠纷和索赔，须由乙方自行解决。乙方负责通行证件的办理，并承担相关费用。乙方应尽最大努力采取措施降低合同设备在运输和安装过程中的风险。</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 xml:space="preserve">9.3 </w:t>
      </w:r>
      <w:r>
        <w:rPr>
          <w:rFonts w:hint="eastAsia" w:hAnsi="宋体"/>
          <w:bCs/>
          <w:color w:val="000000" w:themeColor="text1"/>
          <w:sz w:val="24"/>
          <w:szCs w:val="24"/>
          <w14:textFill>
            <w14:solidFill>
              <w14:schemeClr w14:val="tx1"/>
            </w14:solidFill>
          </w14:textFill>
        </w:rPr>
        <w:t>交货地点：</w:t>
      </w:r>
      <w:r>
        <w:rPr>
          <w:rFonts w:hint="eastAsia" w:hAnsi="宋体"/>
          <w:bCs/>
          <w:color w:val="000000" w:themeColor="text1"/>
          <w:sz w:val="24"/>
          <w:szCs w:val="24"/>
          <w:u w:val="single"/>
          <w:lang w:val="en-US" w:eastAsia="zh-CN"/>
          <w14:textFill>
            <w14:solidFill>
              <w14:schemeClr w14:val="tx1"/>
            </w14:solidFill>
          </w14:textFill>
        </w:rPr>
        <w:t>送货到甲方指定地点并安装调试</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十、货款支付</w:t>
      </w:r>
    </w:p>
    <w:p>
      <w:pPr>
        <w:pStyle w:val="23"/>
        <w:snapToGrid w:val="0"/>
        <w:spacing w:before="120" w:after="120" w:line="500" w:lineRule="exact"/>
        <w:rPr>
          <w:rFonts w:hint="eastAsia" w:hAnsi="宋体"/>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 xml:space="preserve">10.1 </w:t>
      </w:r>
      <w:r>
        <w:rPr>
          <w:rFonts w:hint="eastAsia" w:hAnsi="宋体"/>
          <w:bCs/>
          <w:color w:val="000000" w:themeColor="text1"/>
          <w:sz w:val="24"/>
          <w:szCs w:val="24"/>
          <w14:textFill>
            <w14:solidFill>
              <w14:schemeClr w14:val="tx1"/>
            </w14:solidFill>
          </w14:textFill>
        </w:rPr>
        <w:t>付款方式：</w:t>
      </w:r>
      <w:r>
        <w:rPr>
          <w:rFonts w:hint="eastAsia" w:hAnsi="宋体"/>
          <w:bCs/>
          <w:color w:val="000000" w:themeColor="text1"/>
          <w:sz w:val="24"/>
          <w:szCs w:val="24"/>
          <w:u w:val="single"/>
          <w:lang w:val="en-US" w:eastAsia="zh-CN"/>
          <w14:textFill>
            <w14:solidFill>
              <w14:schemeClr w14:val="tx1"/>
            </w14:solidFill>
          </w14:textFill>
        </w:rPr>
        <w:t>全部设备</w:t>
      </w:r>
      <w:r>
        <w:rPr>
          <w:rFonts w:hint="eastAsia" w:hAnsi="宋体"/>
          <w:bCs/>
          <w:color w:val="000000" w:themeColor="text1"/>
          <w:sz w:val="24"/>
          <w:szCs w:val="24"/>
          <w:u w:val="single"/>
          <w14:textFill>
            <w14:solidFill>
              <w14:schemeClr w14:val="tx1"/>
            </w14:solidFill>
          </w14:textFill>
        </w:rPr>
        <w:t>供货并安装、调试、验收合格交付后，单据齐全，</w:t>
      </w:r>
      <w:r>
        <w:rPr>
          <w:rFonts w:hint="eastAsia" w:hAnsi="宋体"/>
          <w:bCs/>
          <w:color w:val="000000" w:themeColor="text1"/>
          <w:sz w:val="24"/>
          <w:szCs w:val="24"/>
          <w:u w:val="single"/>
          <w:lang w:val="en-US" w:eastAsia="zh-CN"/>
          <w14:textFill>
            <w14:solidFill>
              <w14:schemeClr w14:val="tx1"/>
            </w14:solidFill>
          </w14:textFill>
        </w:rPr>
        <w:t>甲方</w:t>
      </w:r>
      <w:r>
        <w:rPr>
          <w:rFonts w:hint="eastAsia" w:hAnsi="宋体"/>
          <w:bCs/>
          <w:color w:val="000000" w:themeColor="text1"/>
          <w:sz w:val="24"/>
          <w:szCs w:val="24"/>
          <w:u w:val="single"/>
          <w14:textFill>
            <w14:solidFill>
              <w14:schemeClr w14:val="tx1"/>
            </w14:solidFill>
          </w14:textFill>
        </w:rPr>
        <w:t>支付</w:t>
      </w:r>
      <w:r>
        <w:rPr>
          <w:rFonts w:hint="eastAsia" w:hAnsi="宋体"/>
          <w:bCs/>
          <w:color w:val="000000" w:themeColor="text1"/>
          <w:sz w:val="24"/>
          <w:szCs w:val="24"/>
          <w:u w:val="single"/>
          <w:lang w:val="en-US" w:eastAsia="zh-CN"/>
          <w14:textFill>
            <w14:solidFill>
              <w14:schemeClr w14:val="tx1"/>
            </w14:solidFill>
          </w14:textFill>
        </w:rPr>
        <w:t>合同</w:t>
      </w:r>
      <w:r>
        <w:rPr>
          <w:rFonts w:hint="eastAsia" w:hAnsi="宋体"/>
          <w:bCs/>
          <w:color w:val="000000" w:themeColor="text1"/>
          <w:sz w:val="24"/>
          <w:szCs w:val="24"/>
          <w:u w:val="single"/>
          <w14:textFill>
            <w14:solidFill>
              <w14:schemeClr w14:val="tx1"/>
            </w14:solidFill>
          </w14:textFill>
        </w:rPr>
        <w:t>总</w:t>
      </w:r>
      <w:r>
        <w:rPr>
          <w:rFonts w:hint="eastAsia" w:hAnsi="宋体"/>
          <w:bCs/>
          <w:color w:val="000000" w:themeColor="text1"/>
          <w:sz w:val="24"/>
          <w:szCs w:val="24"/>
          <w:u w:val="single"/>
          <w:lang w:val="en-US" w:eastAsia="zh-CN"/>
          <w14:textFill>
            <w14:solidFill>
              <w14:schemeClr w14:val="tx1"/>
            </w14:solidFill>
          </w14:textFill>
        </w:rPr>
        <w:t>价</w:t>
      </w:r>
      <w:r>
        <w:rPr>
          <w:rFonts w:hint="eastAsia" w:hAnsi="宋体"/>
          <w:bCs/>
          <w:color w:val="000000" w:themeColor="text1"/>
          <w:sz w:val="24"/>
          <w:szCs w:val="24"/>
          <w:u w:val="single"/>
          <w14:textFill>
            <w14:solidFill>
              <w14:schemeClr w14:val="tx1"/>
            </w14:solidFill>
          </w14:textFill>
        </w:rPr>
        <w:t>的</w:t>
      </w:r>
      <w:r>
        <w:rPr>
          <w:rFonts w:hint="eastAsia" w:hAnsi="宋体"/>
          <w:bCs/>
          <w:color w:val="000000" w:themeColor="text1"/>
          <w:sz w:val="24"/>
          <w:szCs w:val="24"/>
          <w:u w:val="single"/>
          <w:lang w:val="en-US" w:eastAsia="zh-CN"/>
          <w14:textFill>
            <w14:solidFill>
              <w14:schemeClr w14:val="tx1"/>
            </w14:solidFill>
          </w14:textFill>
        </w:rPr>
        <w:t>50</w:t>
      </w:r>
      <w:r>
        <w:rPr>
          <w:rFonts w:hint="eastAsia" w:hAnsi="宋体"/>
          <w:bCs/>
          <w:color w:val="000000" w:themeColor="text1"/>
          <w:sz w:val="24"/>
          <w:szCs w:val="24"/>
          <w:u w:val="single"/>
          <w14:textFill>
            <w14:solidFill>
              <w14:schemeClr w14:val="tx1"/>
            </w14:solidFill>
          </w14:textFill>
        </w:rPr>
        <w:t>%</w:t>
      </w:r>
      <w:r>
        <w:rPr>
          <w:rFonts w:hint="eastAsia" w:hAnsi="宋体"/>
          <w:bCs/>
          <w:color w:val="000000" w:themeColor="text1"/>
          <w:sz w:val="24"/>
          <w:szCs w:val="24"/>
          <w:u w:val="single"/>
          <w:lang w:eastAsia="zh-CN"/>
          <w14:textFill>
            <w14:solidFill>
              <w14:schemeClr w14:val="tx1"/>
            </w14:solidFill>
          </w14:textFill>
        </w:rPr>
        <w:t>；</w:t>
      </w:r>
      <w:r>
        <w:rPr>
          <w:rFonts w:hint="eastAsia" w:hAnsi="宋体"/>
          <w:bCs/>
          <w:color w:val="000000" w:themeColor="text1"/>
          <w:sz w:val="24"/>
          <w:szCs w:val="24"/>
          <w:u w:val="single"/>
          <w:lang w:val="en-US" w:eastAsia="zh-CN"/>
          <w14:textFill>
            <w14:solidFill>
              <w14:schemeClr w14:val="tx1"/>
            </w14:solidFill>
          </w14:textFill>
        </w:rPr>
        <w:t>验收合格交付甲方使用六个月后无质量问题支付至合同价的90%；</w:t>
      </w:r>
      <w:r>
        <w:rPr>
          <w:rFonts w:hint="eastAsia" w:hAnsi="宋体"/>
          <w:bCs/>
          <w:color w:val="000000" w:themeColor="text1"/>
          <w:sz w:val="24"/>
          <w:szCs w:val="24"/>
          <w:u w:val="single"/>
          <w14:textFill>
            <w14:solidFill>
              <w14:schemeClr w14:val="tx1"/>
            </w14:solidFill>
          </w14:textFill>
        </w:rPr>
        <w:t>余款作为质保金在质保期满后无质量服务问题一次性</w:t>
      </w:r>
      <w:r>
        <w:rPr>
          <w:rFonts w:hint="eastAsia" w:hAnsi="宋体"/>
          <w:bCs/>
          <w:color w:val="000000" w:themeColor="text1"/>
          <w:sz w:val="24"/>
          <w:szCs w:val="24"/>
          <w:u w:val="single"/>
          <w:lang w:val="en-US" w:eastAsia="zh-CN"/>
          <w14:textFill>
            <w14:solidFill>
              <w14:schemeClr w14:val="tx1"/>
            </w14:solidFill>
          </w14:textFill>
        </w:rPr>
        <w:t>无息</w:t>
      </w:r>
      <w:r>
        <w:rPr>
          <w:rFonts w:hint="eastAsia" w:hAnsi="宋体"/>
          <w:bCs/>
          <w:color w:val="000000" w:themeColor="text1"/>
          <w:sz w:val="24"/>
          <w:szCs w:val="24"/>
          <w:u w:val="single"/>
          <w14:textFill>
            <w14:solidFill>
              <w14:schemeClr w14:val="tx1"/>
            </w14:solidFill>
          </w14:textFill>
        </w:rPr>
        <w:t>支付</w:t>
      </w:r>
      <w:r>
        <w:rPr>
          <w:rFonts w:hint="eastAsia" w:hAnsi="宋体"/>
          <w:color w:val="000000" w:themeColor="text1"/>
          <w:sz w:val="24"/>
          <w:szCs w:val="24"/>
          <w14:textFill>
            <w14:solidFill>
              <w14:schemeClr w14:val="tx1"/>
            </w14:solidFill>
          </w14:textFill>
        </w:rPr>
        <w:t>。</w:t>
      </w:r>
    </w:p>
    <w:p>
      <w:pPr>
        <w:pStyle w:val="23"/>
        <w:snapToGrid w:val="0"/>
        <w:spacing w:before="120" w:after="120" w:line="500" w:lineRule="exact"/>
        <w:rPr>
          <w:rFonts w:hint="eastAsia" w:hAnsi="宋体"/>
          <w:color w:val="000000" w:themeColor="text1"/>
          <w:sz w:val="24"/>
          <w:szCs w:val="24"/>
          <w14:textFill>
            <w14:solidFill>
              <w14:schemeClr w14:val="tx1"/>
            </w14:solidFill>
          </w14:textFill>
        </w:rPr>
      </w:pPr>
      <w:r>
        <w:rPr>
          <w:rFonts w:hint="eastAsia" w:hAnsi="宋体"/>
          <w:bCs/>
          <w:color w:val="000000" w:themeColor="text1"/>
          <w:sz w:val="24"/>
          <w:szCs w:val="24"/>
          <w:u w:val="single"/>
          <w:lang w:val="en-US" w:eastAsia="zh-CN"/>
          <w14:textFill>
            <w14:solidFill>
              <w14:schemeClr w14:val="tx1"/>
            </w14:solidFill>
          </w14:textFill>
        </w:rPr>
        <w:t xml:space="preserve"> 注：上述付款为无现金支付，乙方提供银行账号，如因乙方提供账号错误导致相关责任的全部由乙方执行承担。在达到上述付款条件和时间时，乙方应提前向甲方提供相关正规发票和材料，经甲方审核无误的按照合同约定付款，如乙方提交的发票或材料存在瑕疵，则由乙方重新补足提交审核，甲方的付款时间相应顺延并不承担任何违约责任。履约保证金和余款一起无息支付。</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10.2</w:t>
      </w:r>
      <w:r>
        <w:rPr>
          <w:rFonts w:hint="eastAsia" w:hAnsi="宋体"/>
          <w:color w:val="000000" w:themeColor="text1"/>
          <w:sz w:val="24"/>
          <w:szCs w:val="24"/>
          <w14:textFill>
            <w14:solidFill>
              <w14:schemeClr w14:val="tx1"/>
            </w14:solidFill>
          </w14:textFill>
        </w:rPr>
        <w:t>当采购数量与实际使用数量不一致时，乙方应根据实际使用量供货，合同的最终结算金额按实际使用量乘以成交单价进行计算。</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10.3</w:t>
      </w:r>
      <w:r>
        <w:rPr>
          <w:rFonts w:hint="eastAsia" w:hAnsi="宋体"/>
          <w:color w:val="000000" w:themeColor="text1"/>
          <w:sz w:val="24"/>
          <w:szCs w:val="24"/>
          <w14:textFill>
            <w14:solidFill>
              <w14:schemeClr w14:val="tx1"/>
            </w14:solidFill>
          </w14:textFill>
        </w:rPr>
        <w:t>如需向与财政部门签署融资合作协议的银行办理授信申请的</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需在协作银行开立结算户作为回款专用户</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作为该笔合同唯一的收款帐户，供货结束货款结算时，财政部门将政府采购款项直接支付到该账户。</w:t>
      </w:r>
    </w:p>
    <w:p>
      <w:pPr>
        <w:snapToGrid w:val="0"/>
        <w:spacing w:beforeLines="50" w:afterLines="50" w:line="500" w:lineRule="exac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十一、税费</w:t>
      </w:r>
    </w:p>
    <w:p>
      <w:pPr>
        <w:snapToGrid w:val="0"/>
        <w:spacing w:beforeLines="50" w:afterLines="50" w:line="500" w:lineRule="exact"/>
        <w:rPr>
          <w:rFonts w:hint="eastAsia"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11.1</w:t>
      </w:r>
      <w:r>
        <w:rPr>
          <w:rFonts w:hint="eastAsia" w:ascii="宋体" w:hAnsi="宋体"/>
          <w:color w:val="000000" w:themeColor="text1"/>
          <w:sz w:val="24"/>
          <w:szCs w:val="24"/>
          <w14:textFill>
            <w14:solidFill>
              <w14:schemeClr w14:val="tx1"/>
            </w14:solidFill>
          </w14:textFill>
        </w:rPr>
        <w:t>本合同执行中相关的一切税费均由乙方负担。</w:t>
      </w:r>
    </w:p>
    <w:p>
      <w:pPr>
        <w:snapToGrid w:val="0"/>
        <w:spacing w:beforeLines="50" w:afterLines="50" w:line="500" w:lineRule="exact"/>
        <w:rPr>
          <w:rFonts w:ascii="宋体"/>
          <w:color w:val="000000" w:themeColor="text1"/>
          <w:sz w:val="24"/>
          <w:szCs w:val="24"/>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11.2乙方必须为全部合同设备投保运输一切险，保险履盖范围包括从卖方起运站/港口仓库起，到甲方指定的工地卸货仓库/工地安装现场并经开箱验收合格为止，保险费应含在合同价中。</w:t>
      </w:r>
    </w:p>
    <w:p>
      <w:pPr>
        <w:pStyle w:val="23"/>
        <w:snapToGrid w:val="0"/>
        <w:spacing w:before="120" w:after="120" w:line="500" w:lineRule="exact"/>
        <w:ind w:left="412" w:hanging="412" w:hangingChars="171"/>
        <w:rPr>
          <w:rFonts w:hAnsi="宋体"/>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十二、质量保证及售后服务</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12.1 </w:t>
      </w:r>
      <w:r>
        <w:rPr>
          <w:rFonts w:hint="eastAsia" w:hAnsi="宋体"/>
          <w:color w:val="000000" w:themeColor="text1"/>
          <w:sz w:val="24"/>
          <w:szCs w:val="24"/>
          <w14:textFill>
            <w14:solidFill>
              <w14:schemeClr w14:val="tx1"/>
            </w14:solidFill>
          </w14:textFill>
        </w:rPr>
        <w:t>乙方应按招标文件规定的货物性能、技术要求、质量标准向甲方提供未经使用的全新产品。</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12.2 </w:t>
      </w:r>
      <w:r>
        <w:rPr>
          <w:rFonts w:hint="eastAsia" w:hAnsi="宋体"/>
          <w:color w:val="000000" w:themeColor="text1"/>
          <w:sz w:val="24"/>
          <w:szCs w:val="24"/>
          <w14:textFill>
            <w14:solidFill>
              <w14:schemeClr w14:val="tx1"/>
            </w14:solidFill>
          </w14:textFill>
        </w:rPr>
        <w:t>乙方提供的货物在质量期内因货物本身的质量问题发生故障，乙方应负责免费更换。对达不到技术要求者，根据实际情况，经双方协商，可按以下办法处理：</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12.2.1</w:t>
      </w:r>
      <w:r>
        <w:rPr>
          <w:rFonts w:hint="eastAsia" w:hAnsi="宋体"/>
          <w:color w:val="000000" w:themeColor="text1"/>
          <w:sz w:val="24"/>
          <w:szCs w:val="24"/>
          <w14:textFill>
            <w14:solidFill>
              <w14:schemeClr w14:val="tx1"/>
            </w14:solidFill>
          </w14:textFill>
        </w:rPr>
        <w:t>更换：由乙方承担所发生的全部费用。</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12.2.2</w:t>
      </w:r>
      <w:r>
        <w:rPr>
          <w:rFonts w:hint="eastAsia" w:hAnsi="宋体"/>
          <w:color w:val="000000" w:themeColor="text1"/>
          <w:sz w:val="24"/>
          <w:szCs w:val="24"/>
          <w14:textFill>
            <w14:solidFill>
              <w14:schemeClr w14:val="tx1"/>
            </w14:solidFill>
          </w14:textFill>
        </w:rPr>
        <w:t>贬值处理：由甲乙双方合议定价。</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12.2.3</w:t>
      </w:r>
      <w:r>
        <w:rPr>
          <w:rFonts w:hint="eastAsia" w:hAnsi="宋体"/>
          <w:color w:val="000000" w:themeColor="text1"/>
          <w:sz w:val="24"/>
          <w:szCs w:val="24"/>
          <w14:textFill>
            <w14:solidFill>
              <w14:schemeClr w14:val="tx1"/>
            </w14:solidFill>
          </w14:textFill>
        </w:rPr>
        <w:t>退货处理：乙方应退还甲方支付的合同款，同时应承担该货物的直接费用（运输、保险、检验、货款利息及银行手续费等）。</w:t>
      </w:r>
    </w:p>
    <w:p>
      <w:pPr>
        <w:pStyle w:val="23"/>
        <w:snapToGrid w:val="0"/>
        <w:spacing w:before="120" w:after="120" w:line="500" w:lineRule="exact"/>
        <w:rPr>
          <w:rFonts w:hint="eastAsia" w:hAnsi="宋体"/>
          <w:sz w:val="24"/>
          <w:szCs w:val="24"/>
        </w:rPr>
      </w:pPr>
      <w:r>
        <w:rPr>
          <w:rFonts w:hAnsi="宋体"/>
          <w:color w:val="000000" w:themeColor="text1"/>
          <w:sz w:val="24"/>
          <w:szCs w:val="24"/>
          <w14:textFill>
            <w14:solidFill>
              <w14:schemeClr w14:val="tx1"/>
            </w14:solidFill>
          </w14:textFill>
        </w:rPr>
        <w:t xml:space="preserve">12.3 </w:t>
      </w:r>
      <w:r>
        <w:rPr>
          <w:rFonts w:hint="eastAsia" w:hAnsi="宋体"/>
          <w:color w:val="000000" w:themeColor="text1"/>
          <w:sz w:val="24"/>
          <w:szCs w:val="24"/>
          <w14:textFill>
            <w14:solidFill>
              <w14:schemeClr w14:val="tx1"/>
            </w14:solidFill>
          </w14:textFill>
        </w:rPr>
        <w:t>在质保期内所供货物发生故障时，</w:t>
      </w:r>
      <w:r>
        <w:rPr>
          <w:rFonts w:hint="eastAsia" w:hAnsi="宋体"/>
          <w:color w:val="000000" w:themeColor="text1"/>
          <w:sz w:val="24"/>
          <w:szCs w:val="24"/>
          <w:lang w:val="en-US" w:eastAsia="zh-CN"/>
          <w14:textFill>
            <w14:solidFill>
              <w14:schemeClr w14:val="tx1"/>
            </w14:solidFill>
          </w14:textFill>
        </w:rPr>
        <w:t>乙方</w:t>
      </w:r>
      <w:r>
        <w:rPr>
          <w:rFonts w:hint="eastAsia" w:hAnsi="宋体"/>
          <w:color w:val="000000" w:themeColor="text1"/>
          <w:sz w:val="24"/>
          <w:szCs w:val="24"/>
          <w14:textFill>
            <w14:solidFill>
              <w14:schemeClr w14:val="tx1"/>
            </w14:solidFill>
          </w14:textFill>
        </w:rPr>
        <w:t>须在</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u w:val="single"/>
          <w:lang w:val="en-US" w:eastAsia="zh-CN"/>
          <w14:textFill>
            <w14:solidFill>
              <w14:schemeClr w14:val="tx1"/>
            </w14:solidFill>
          </w14:textFill>
        </w:rPr>
        <w:t>2</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小时内到场维修，无法修复时，须在</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u w:val="single"/>
          <w:lang w:val="en-US" w:eastAsia="zh-CN"/>
          <w14:textFill>
            <w14:solidFill>
              <w14:schemeClr w14:val="tx1"/>
            </w14:solidFill>
          </w14:textFill>
        </w:rPr>
        <w:t>12</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小时内提供备用产品，否则甲方有权自行处理，其费用在乙方未结款项中扣除。</w:t>
      </w:r>
    </w:p>
    <w:p>
      <w:pPr>
        <w:pStyle w:val="23"/>
        <w:snapToGrid w:val="0"/>
        <w:spacing w:before="120" w:after="120" w:line="500" w:lineRule="exact"/>
        <w:rPr>
          <w:rFonts w:hint="eastAsia"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根据厂方的规定对所供货物进行保修，在质量保证期内，乙方不得收取任何费用；质量保证期满后，乙方对用户货物的维修，只收成本费，并提供终生技术服务。</w:t>
      </w:r>
    </w:p>
    <w:p>
      <w:pPr>
        <w:pStyle w:val="23"/>
        <w:snapToGrid w:val="0"/>
        <w:spacing w:before="120" w:after="120" w:line="500" w:lineRule="exact"/>
        <w:rPr>
          <w:rFonts w:hint="eastAsia" w:hAnsi="宋体"/>
          <w:sz w:val="24"/>
          <w:szCs w:val="24"/>
          <w:lang w:eastAsia="zh-CN"/>
        </w:rPr>
      </w:pPr>
      <w:r>
        <w:rPr>
          <w:rFonts w:hint="eastAsia" w:hAnsi="宋体"/>
          <w:sz w:val="24"/>
          <w:szCs w:val="24"/>
          <w:lang w:val="en-US" w:eastAsia="zh-CN"/>
        </w:rPr>
        <w:t>12.5</w:t>
      </w:r>
      <w:r>
        <w:rPr>
          <w:rFonts w:hint="eastAsia" w:hAnsi="宋体"/>
          <w:sz w:val="24"/>
          <w:szCs w:val="24"/>
        </w:rPr>
        <w:t>如甲方使用不当造成货物的毁损，乙方有义务协助维修</w:t>
      </w:r>
      <w:r>
        <w:rPr>
          <w:rFonts w:hint="eastAsia" w:hAnsi="宋体"/>
          <w:sz w:val="24"/>
          <w:szCs w:val="24"/>
          <w:lang w:eastAsia="zh-CN"/>
        </w:rPr>
        <w:t>。</w:t>
      </w:r>
    </w:p>
    <w:p>
      <w:pPr>
        <w:pStyle w:val="23"/>
        <w:snapToGrid w:val="0"/>
        <w:spacing w:before="120" w:after="120" w:line="500" w:lineRule="exact"/>
        <w:rPr>
          <w:rFonts w:hint="eastAsia" w:hAnsi="宋体"/>
          <w:sz w:val="24"/>
          <w:szCs w:val="24"/>
          <w:lang w:val="en-US" w:eastAsia="zh-CN"/>
        </w:rPr>
      </w:pPr>
      <w:r>
        <w:rPr>
          <w:rFonts w:hint="eastAsia" w:hAnsi="宋体"/>
          <w:sz w:val="24"/>
          <w:szCs w:val="24"/>
          <w:lang w:val="en-US" w:eastAsia="zh-CN"/>
        </w:rPr>
        <w:t>12.6 乙方在供货前须提供所投产品第三方检测报告、合格证明、售后服务证明及技术资料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pPr>
        <w:pStyle w:val="23"/>
        <w:snapToGrid w:val="0"/>
        <w:spacing w:before="120" w:after="120" w:line="500" w:lineRule="exact"/>
        <w:rPr>
          <w:rFonts w:hint="eastAsia" w:hAnsi="宋体"/>
          <w:sz w:val="24"/>
          <w:szCs w:val="24"/>
          <w:lang w:val="en-US" w:eastAsia="zh-CN"/>
        </w:rPr>
      </w:pPr>
      <w:r>
        <w:rPr>
          <w:rFonts w:hint="eastAsia" w:hAnsi="宋体"/>
          <w:sz w:val="24"/>
          <w:szCs w:val="24"/>
          <w:lang w:val="en-US" w:eastAsia="zh-CN"/>
        </w:rPr>
        <w:t>12.7 乙方必须服从甲方的统筹安排，确保设备的质量、安全无障碍运行，必须按合同规定的产品和材料等级、国内最新有关规范进行制作和安装，不合格的材料，必须无偿重新制作安装调试，直至合格为止，期间引起的经济损失全部由乙方负责。</w:t>
      </w:r>
    </w:p>
    <w:p>
      <w:pPr>
        <w:pStyle w:val="23"/>
        <w:snapToGrid w:val="0"/>
        <w:spacing w:before="120" w:after="120" w:line="500" w:lineRule="exact"/>
        <w:rPr>
          <w:rFonts w:hint="eastAsia" w:hAnsi="宋体"/>
          <w:sz w:val="24"/>
          <w:szCs w:val="24"/>
          <w:lang w:val="en-US" w:eastAsia="zh-CN"/>
        </w:rPr>
      </w:pPr>
      <w:r>
        <w:rPr>
          <w:rFonts w:hint="eastAsia" w:hAnsi="宋体"/>
          <w:sz w:val="24"/>
          <w:szCs w:val="24"/>
          <w:lang w:val="en-US" w:eastAsia="zh-CN"/>
        </w:rPr>
        <w:t>12.8 乙方应对其施工人员的现场安全责任负责，因施工现场造成的安全事故或人员伤亡由乙方承担相应责任及发生的一切费用。</w:t>
      </w:r>
    </w:p>
    <w:p>
      <w:pPr>
        <w:pStyle w:val="23"/>
        <w:snapToGrid w:val="0"/>
        <w:spacing w:before="120" w:after="120" w:line="500" w:lineRule="exact"/>
        <w:rPr>
          <w:rFonts w:hint="eastAsia" w:hAnsi="宋体"/>
          <w:b/>
          <w:bCs/>
          <w:sz w:val="24"/>
          <w:szCs w:val="24"/>
          <w:u w:val="single"/>
        </w:rPr>
      </w:pPr>
      <w:r>
        <w:rPr>
          <w:rFonts w:hint="eastAsia" w:hAnsi="宋体"/>
          <w:sz w:val="24"/>
          <w:szCs w:val="24"/>
          <w:lang w:val="en-US" w:eastAsia="zh-CN"/>
        </w:rPr>
        <w:t>12.9乙方应派出符合合同要求的技术人员按合同规定提供技术服务，使有关合同设备的组装、安装顺利完成。</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十三、调试和验收</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13.1 </w:t>
      </w:r>
      <w:r>
        <w:rPr>
          <w:rFonts w:hint="eastAsia" w:hAnsi="宋体"/>
          <w:color w:val="000000" w:themeColor="text1"/>
          <w:sz w:val="24"/>
          <w:szCs w:val="24"/>
          <w14:textFill>
            <w14:solidFill>
              <w14:schemeClr w14:val="tx1"/>
            </w14:solidFill>
          </w14:textFill>
        </w:rPr>
        <w:t>甲方对乙方提交的货物依据招标文件上的技术规格要求和国家有关质量标准进行现场初步验收，外观、说明书符合招标文件技术要求的，给予签收，初步验收不合格的不予签收。全部货物安装调试完毕后15日内，由甲方邀请相关专业人员，按照招标文件的要求和现行技术标准、强制性标准对所供货物的技术性能、技术参数、安装质量等进行验收。甲方的初步验收并不免除乙方的质量保证责任。</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13.2 </w:t>
      </w:r>
      <w:r>
        <w:rPr>
          <w:rFonts w:hint="eastAsia" w:hAnsi="宋体"/>
          <w:color w:val="000000" w:themeColor="text1"/>
          <w:sz w:val="24"/>
          <w:szCs w:val="24"/>
          <w14:textFill>
            <w14:solidFill>
              <w14:schemeClr w14:val="tx1"/>
            </w14:solidFill>
          </w14:textFill>
        </w:rPr>
        <w:t>乙方交货前应对产品作出全面检查和对验收文件进行整理，并列出清单，作为甲方收货验收和使用的技术条件依据，检验的结果应随货物交甲方。</w:t>
      </w:r>
    </w:p>
    <w:p>
      <w:pPr>
        <w:pStyle w:val="23"/>
        <w:snapToGrid w:val="0"/>
        <w:spacing w:before="120" w:after="120" w:line="500" w:lineRule="exact"/>
        <w:rPr>
          <w:rFonts w:hAnsi="宋体"/>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 xml:space="preserve">13.3 </w:t>
      </w:r>
      <w:r>
        <w:rPr>
          <w:rFonts w:hint="eastAsia" w:hAnsi="宋体"/>
          <w:color w:val="000000" w:themeColor="text1"/>
          <w:sz w:val="24"/>
          <w:szCs w:val="24"/>
          <w14:textFill>
            <w14:solidFill>
              <w14:schemeClr w14:val="tx1"/>
            </w14:solidFill>
          </w14:textFill>
        </w:rPr>
        <w:t>甲方对乙方提供的货物在使用前进行调试时，乙方需负责安装并培训甲方的使用操作人员，并协助甲方一起调试，直到符合技术要求，甲方才做最终验收。</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13.4 </w:t>
      </w:r>
      <w:r>
        <w:rPr>
          <w:rFonts w:hint="eastAsia" w:hAnsi="宋体"/>
          <w:color w:val="000000" w:themeColor="text1"/>
          <w:sz w:val="24"/>
          <w:szCs w:val="24"/>
          <w14:textFill>
            <w14:solidFill>
              <w14:schemeClr w14:val="tx1"/>
            </w14:solidFill>
          </w14:textFill>
        </w:rPr>
        <w:t>对技术复杂的货物，甲方可请国家认可的专业检测机构参与初步验收及最终验收，并由其出具质量检测报告。检查结果与约定的质量标准不符合或存在瑕疵时，由乙方承担全部赔偿责任及检测费用。</w:t>
      </w:r>
    </w:p>
    <w:p>
      <w:pPr>
        <w:pStyle w:val="23"/>
        <w:snapToGrid w:val="0"/>
        <w:spacing w:before="120" w:after="120" w:line="500" w:lineRule="exact"/>
        <w:rPr>
          <w:rFonts w:hAnsi="宋体"/>
          <w:color w:val="000000" w:themeColor="text1"/>
          <w:sz w:val="24"/>
          <w:szCs w:val="24"/>
          <w:u w:val="single"/>
          <w14:textFill>
            <w14:solidFill>
              <w14:schemeClr w14:val="tx1"/>
            </w14:solidFill>
          </w14:textFill>
        </w:rPr>
      </w:pPr>
      <w:r>
        <w:rPr>
          <w:rFonts w:hAnsi="宋体"/>
          <w:color w:val="000000" w:themeColor="text1"/>
          <w:sz w:val="24"/>
          <w:szCs w:val="24"/>
          <w14:textFill>
            <w14:solidFill>
              <w14:schemeClr w14:val="tx1"/>
            </w14:solidFill>
          </w14:textFill>
        </w:rPr>
        <w:t xml:space="preserve">13.5 </w:t>
      </w:r>
      <w:r>
        <w:rPr>
          <w:rFonts w:hint="eastAsia" w:hAnsi="宋体"/>
          <w:color w:val="000000" w:themeColor="text1"/>
          <w:sz w:val="24"/>
          <w:szCs w:val="24"/>
          <w14:textFill>
            <w14:solidFill>
              <w14:schemeClr w14:val="tx1"/>
            </w14:solidFill>
          </w14:textFill>
        </w:rPr>
        <w:t>验收时乙方必须在现场，验收完毕后作出验收结果报告；验收费用由甲乙双方协商解决。</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十四、货物包装、发运及运输</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14.1 </w:t>
      </w:r>
      <w:r>
        <w:rPr>
          <w:rFonts w:hint="eastAsia" w:hAnsi="宋体"/>
          <w:color w:val="000000" w:themeColor="text1"/>
          <w:sz w:val="24"/>
          <w:szCs w:val="24"/>
          <w14:textFill>
            <w14:solidFill>
              <w14:schemeClr w14:val="tx1"/>
            </w14:solidFill>
          </w14:textFill>
        </w:rPr>
        <w:t>乙方应在货物发运前对其进行满足运输距离、防潮、防震、防锈和防破损装卸等要求包装，以保证货物安全运达甲方指定地点。</w:t>
      </w:r>
    </w:p>
    <w:p>
      <w:pPr>
        <w:pStyle w:val="23"/>
        <w:snapToGrid w:val="0"/>
        <w:spacing w:before="120" w:after="120" w:line="500" w:lineRule="exact"/>
        <w:ind w:left="480" w:hanging="48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14.2 </w:t>
      </w:r>
      <w:r>
        <w:rPr>
          <w:rFonts w:hint="eastAsia" w:hAnsi="宋体"/>
          <w:color w:val="000000" w:themeColor="text1"/>
          <w:sz w:val="24"/>
          <w:szCs w:val="24"/>
          <w14:textFill>
            <w14:solidFill>
              <w14:schemeClr w14:val="tx1"/>
            </w14:solidFill>
          </w14:textFill>
        </w:rPr>
        <w:t>使用说明书、质量检验证明书、随配附件和工具以及清单一并附于货物内。</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14.3 </w:t>
      </w:r>
      <w:r>
        <w:rPr>
          <w:rFonts w:hint="eastAsia" w:hAnsi="宋体"/>
          <w:color w:val="000000" w:themeColor="text1"/>
          <w:sz w:val="24"/>
          <w:szCs w:val="24"/>
          <w14:textFill>
            <w14:solidFill>
              <w14:schemeClr w14:val="tx1"/>
            </w14:solidFill>
          </w14:textFill>
        </w:rPr>
        <w:t>乙方在货物发运手续办理完毕后</w:t>
      </w:r>
      <w:r>
        <w:rPr>
          <w:rFonts w:hAnsi="宋体"/>
          <w:color w:val="000000" w:themeColor="text1"/>
          <w:sz w:val="24"/>
          <w:szCs w:val="24"/>
          <w:u w:val="single"/>
          <w14:textFill>
            <w14:solidFill>
              <w14:schemeClr w14:val="tx1"/>
            </w14:solidFill>
          </w14:textFill>
        </w:rPr>
        <w:t>24</w:t>
      </w:r>
      <w:r>
        <w:rPr>
          <w:rFonts w:hint="eastAsia" w:hAnsi="宋体"/>
          <w:color w:val="000000" w:themeColor="text1"/>
          <w:sz w:val="24"/>
          <w:szCs w:val="24"/>
          <w:u w:val="single"/>
          <w14:textFill>
            <w14:solidFill>
              <w14:schemeClr w14:val="tx1"/>
            </w14:solidFill>
          </w14:textFill>
        </w:rPr>
        <w:t>小时</w:t>
      </w:r>
      <w:r>
        <w:rPr>
          <w:rFonts w:hint="eastAsia" w:hAnsi="宋体"/>
          <w:color w:val="000000" w:themeColor="text1"/>
          <w:sz w:val="24"/>
          <w:szCs w:val="24"/>
          <w14:textFill>
            <w14:solidFill>
              <w14:schemeClr w14:val="tx1"/>
            </w14:solidFill>
          </w14:textFill>
        </w:rPr>
        <w:t>内或货到甲方</w:t>
      </w:r>
      <w:r>
        <w:rPr>
          <w:rFonts w:hAnsi="宋体"/>
          <w:color w:val="000000" w:themeColor="text1"/>
          <w:sz w:val="24"/>
          <w:szCs w:val="24"/>
          <w:u w:val="single"/>
          <w14:textFill>
            <w14:solidFill>
              <w14:schemeClr w14:val="tx1"/>
            </w14:solidFill>
          </w14:textFill>
        </w:rPr>
        <w:t>48</w:t>
      </w:r>
      <w:r>
        <w:rPr>
          <w:rFonts w:hint="eastAsia" w:hAnsi="宋体"/>
          <w:color w:val="000000" w:themeColor="text1"/>
          <w:sz w:val="24"/>
          <w:szCs w:val="24"/>
          <w:u w:val="single"/>
          <w14:textFill>
            <w14:solidFill>
              <w14:schemeClr w14:val="tx1"/>
            </w14:solidFill>
          </w14:textFill>
        </w:rPr>
        <w:t>小时</w:t>
      </w:r>
      <w:r>
        <w:rPr>
          <w:rFonts w:hint="eastAsia" w:hAnsi="宋体"/>
          <w:color w:val="000000" w:themeColor="text1"/>
          <w:sz w:val="24"/>
          <w:szCs w:val="24"/>
          <w14:textFill>
            <w14:solidFill>
              <w14:schemeClr w14:val="tx1"/>
            </w14:solidFill>
          </w14:textFill>
        </w:rPr>
        <w:t>前通知甲方，以准备接货。</w:t>
      </w:r>
    </w:p>
    <w:p>
      <w:pPr>
        <w:pStyle w:val="23"/>
        <w:snapToGrid w:val="0"/>
        <w:spacing w:before="120" w:after="120" w:line="500" w:lineRule="exact"/>
        <w:ind w:left="480" w:hanging="48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14.4 </w:t>
      </w:r>
      <w:r>
        <w:rPr>
          <w:rFonts w:hint="eastAsia" w:hAnsi="宋体"/>
          <w:color w:val="000000" w:themeColor="text1"/>
          <w:sz w:val="24"/>
          <w:szCs w:val="24"/>
          <w14:textFill>
            <w14:solidFill>
              <w14:schemeClr w14:val="tx1"/>
            </w14:solidFill>
          </w14:textFill>
        </w:rPr>
        <w:t>货物在交付甲方前发生的风险均由乙方负责。</w:t>
      </w:r>
    </w:p>
    <w:p>
      <w:pPr>
        <w:pStyle w:val="23"/>
        <w:snapToGrid w:val="0"/>
        <w:spacing w:before="156" w:after="156" w:line="500" w:lineRule="exact"/>
        <w:ind w:right="26"/>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14.5 </w:t>
      </w:r>
      <w:r>
        <w:rPr>
          <w:rFonts w:hint="eastAsia" w:ascii="宋体" w:hAnsi="宋体" w:cs="Courier New"/>
          <w:color w:val="000000"/>
          <w:sz w:val="24"/>
          <w:szCs w:val="24"/>
        </w:rPr>
        <w:t>货物在规定的交付期限内由乙方送达甲方指定的地点</w:t>
      </w:r>
      <w:r>
        <w:rPr>
          <w:rFonts w:hint="eastAsia" w:ascii="宋体" w:hAnsi="宋体" w:cs="Courier New"/>
          <w:color w:val="000000"/>
          <w:sz w:val="24"/>
          <w:szCs w:val="24"/>
          <w:lang w:eastAsia="zh-CN"/>
        </w:rPr>
        <w:t>，</w:t>
      </w:r>
      <w:r>
        <w:rPr>
          <w:rFonts w:hint="eastAsia" w:ascii="宋体" w:hAnsi="宋体" w:cs="Courier New"/>
          <w:color w:val="000000"/>
          <w:sz w:val="24"/>
          <w:szCs w:val="24"/>
          <w:lang w:val="en-US" w:eastAsia="zh-CN"/>
        </w:rPr>
        <w:t>经甲方根据乙方提供的清单初步核对数量、外观无误的</w:t>
      </w:r>
      <w:r>
        <w:rPr>
          <w:rFonts w:hint="eastAsia" w:ascii="宋体" w:hAnsi="宋体" w:cs="Courier New"/>
          <w:color w:val="000000"/>
          <w:sz w:val="24"/>
          <w:szCs w:val="24"/>
        </w:rPr>
        <w:t>视为交付，乙方同时需通知甲方货物已送达</w:t>
      </w:r>
      <w:r>
        <w:rPr>
          <w:rFonts w:hint="eastAsia" w:ascii="宋体" w:hAnsi="宋体" w:cs="Courier New"/>
          <w:color w:val="000000"/>
          <w:sz w:val="24"/>
          <w:szCs w:val="24"/>
          <w:lang w:eastAsia="zh-CN"/>
        </w:rPr>
        <w:t>，</w:t>
      </w:r>
      <w:r>
        <w:rPr>
          <w:rFonts w:hint="eastAsia" w:ascii="宋体" w:hAnsi="宋体" w:cs="Courier New"/>
          <w:color w:val="000000"/>
          <w:sz w:val="24"/>
          <w:szCs w:val="24"/>
          <w:lang w:val="en-US" w:eastAsia="zh-CN"/>
        </w:rPr>
        <w:t>甲方的初步验收并不视为货物无任何质量问题，也并不免除乙方的质量保证责任</w:t>
      </w:r>
      <w:r>
        <w:rPr>
          <w:rFonts w:hint="eastAsia" w:ascii="宋体" w:hAnsi="宋体" w:cs="Courier New"/>
          <w:color w:val="000000"/>
          <w:sz w:val="24"/>
          <w:szCs w:val="24"/>
        </w:rPr>
        <w:t>。</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十五、违约责任</w:t>
      </w:r>
    </w:p>
    <w:p>
      <w:pPr>
        <w:pStyle w:val="23"/>
        <w:snapToGrid w:val="0"/>
        <w:spacing w:before="120" w:after="120" w:line="500" w:lineRule="exact"/>
        <w:ind w:left="410" w:hanging="410" w:hangingChars="171"/>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15.1 </w:t>
      </w:r>
      <w:r>
        <w:rPr>
          <w:rFonts w:hint="eastAsia" w:hAnsi="宋体"/>
          <w:color w:val="000000" w:themeColor="text1"/>
          <w:sz w:val="24"/>
          <w:szCs w:val="24"/>
          <w14:textFill>
            <w14:solidFill>
              <w14:schemeClr w14:val="tx1"/>
            </w14:solidFill>
          </w14:textFill>
        </w:rPr>
        <w:t>甲方无正当理由拒收货物的，甲方向乙方偿付拒收货款总值的百分之五违约金。</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15.2 </w:t>
      </w:r>
      <w:r>
        <w:rPr>
          <w:rFonts w:hint="eastAsia" w:hAnsi="宋体"/>
          <w:color w:val="000000" w:themeColor="text1"/>
          <w:sz w:val="24"/>
          <w:szCs w:val="24"/>
          <w14:textFill>
            <w14:solidFill>
              <w14:schemeClr w14:val="tx1"/>
            </w14:solidFill>
          </w14:textFill>
        </w:rPr>
        <w:t>甲方无故逾期验收和办理货款支付手续的</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甲方应按逾期付款总额每日万分之五向乙方支付违约金。</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15.3 </w:t>
      </w:r>
      <w:r>
        <w:rPr>
          <w:rFonts w:hint="eastAsia" w:hAnsi="宋体"/>
          <w:color w:val="000000" w:themeColor="text1"/>
          <w:sz w:val="24"/>
          <w:szCs w:val="24"/>
          <w14:textFill>
            <w14:solidFill>
              <w14:schemeClr w14:val="tx1"/>
            </w14:solidFill>
          </w14:textFill>
        </w:rPr>
        <w:t>乙方逾期交付货物的，乙方应按逾期交货总额每日千分之六向甲方支付违约金，由甲方从待付货款中扣除。逾期超过约定日期</w:t>
      </w:r>
      <w:r>
        <w:rPr>
          <w:rFonts w:hAnsi="宋体"/>
          <w:color w:val="000000" w:themeColor="text1"/>
          <w:sz w:val="24"/>
          <w:szCs w:val="24"/>
          <w14:textFill>
            <w14:solidFill>
              <w14:schemeClr w14:val="tx1"/>
            </w14:solidFill>
          </w14:textFill>
        </w:rPr>
        <w:t>10</w:t>
      </w:r>
      <w:r>
        <w:rPr>
          <w:rFonts w:hint="eastAsia" w:hAnsi="宋体"/>
          <w:color w:val="000000" w:themeColor="text1"/>
          <w:sz w:val="24"/>
          <w:szCs w:val="24"/>
          <w14:textFill>
            <w14:solidFill>
              <w14:schemeClr w14:val="tx1"/>
            </w14:solidFill>
          </w14:textFill>
        </w:rPr>
        <w:t>个工作日不能交货的，甲方可解除本合同。乙方因逾期交货或因其他违约行为导致甲方解除合同的，乙方应向甲方支付合同总值</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的违约金，如造成甲方损失超过违约金的，超出部分由乙方继续承担赔偿责任。</w:t>
      </w:r>
      <w:r>
        <w:rPr>
          <w:rFonts w:hAnsi="宋体"/>
          <w:color w:val="000000" w:themeColor="text1"/>
          <w:sz w:val="24"/>
          <w:szCs w:val="24"/>
          <w14:textFill>
            <w14:solidFill>
              <w14:schemeClr w14:val="tx1"/>
            </w14:solidFill>
          </w14:textFill>
        </w:rPr>
        <w:t xml:space="preserve"> </w:t>
      </w:r>
    </w:p>
    <w:p>
      <w:pPr>
        <w:pStyle w:val="23"/>
        <w:snapToGrid w:val="0"/>
        <w:spacing w:before="120" w:after="120" w:line="500" w:lineRule="exact"/>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15.4 </w:t>
      </w:r>
      <w:r>
        <w:rPr>
          <w:rFonts w:hint="eastAsia" w:hAnsi="宋体"/>
          <w:color w:val="000000" w:themeColor="text1"/>
          <w:sz w:val="24"/>
          <w:szCs w:val="24"/>
          <w14:textFill>
            <w14:solidFill>
              <w14:schemeClr w14:val="tx1"/>
            </w14:solidFill>
          </w14:textFill>
        </w:rPr>
        <w:t>乙方所交的货物品种、型号、规格、技术参数、质量不符合合同规定及招标文件规定标准的，甲方有权拒收该货物，乙方愿意更换货物但逾期交货的，按乙方逾期交货处理。乙方拒绝更换货物的，甲方可单方面解除合同。如发现乙方所供产品与投标品牌不一致，甲方将作退货处理，由此造成的一切损失以及后果均由乙方自行承担。</w:t>
      </w:r>
    </w:p>
    <w:p>
      <w:pPr>
        <w:pStyle w:val="23"/>
        <w:snapToGrid w:val="0"/>
        <w:spacing w:before="120" w:after="120" w:line="500" w:lineRule="exact"/>
        <w:rPr>
          <w:rFonts w:hint="eastAsia" w:hAnsi="宋体"/>
          <w:color w:val="000000" w:themeColor="text1"/>
          <w:sz w:val="24"/>
          <w:szCs w:val="24"/>
          <w:lang w:val="en-US" w:eastAsia="zh-CN"/>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15.5 由于乙方提供的产品及配件、软件质量问题，以及乙方的维修服务质量（包括维修不及时）等原因，导致本产品在合理使用期间内出现的质量事故、安全事故等，乙方应向甲方支付违约合同总价款百分之五的违约金，并承担由此造成的其他一切损失。</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15.6 本合同约定的违约金不能弥补甲方损失的，甲方有权向乙方追偿。甲方因乙方违约向乙方追偿所支出的任何费用由乙方承担。</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十六、不可抗力事件处理</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16.1 </w:t>
      </w:r>
      <w:r>
        <w:rPr>
          <w:rFonts w:hint="eastAsia" w:hAnsi="宋体"/>
          <w:color w:val="000000" w:themeColor="text1"/>
          <w:sz w:val="24"/>
          <w:szCs w:val="24"/>
          <w14:textFill>
            <w14:solidFill>
              <w14:schemeClr w14:val="tx1"/>
            </w14:solidFill>
          </w14:textFill>
        </w:rPr>
        <w:t>在合同有效期内，任何一方因不可抗力事件导致不能履行合同，则合同履行期可延长，其延长期与不可抗力影响期相同。</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16.2 </w:t>
      </w:r>
      <w:r>
        <w:rPr>
          <w:rFonts w:hint="eastAsia" w:hAnsi="宋体"/>
          <w:color w:val="000000" w:themeColor="text1"/>
          <w:sz w:val="24"/>
          <w:szCs w:val="24"/>
          <w14:textFill>
            <w14:solidFill>
              <w14:schemeClr w14:val="tx1"/>
            </w14:solidFill>
          </w14:textFill>
        </w:rPr>
        <w:t>不可抗力事件发生后，应立即通知对方，并寄送有关权威机构出具的证明。</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16.3 </w:t>
      </w:r>
      <w:r>
        <w:rPr>
          <w:rFonts w:hint="eastAsia" w:hAnsi="宋体"/>
          <w:color w:val="000000" w:themeColor="text1"/>
          <w:sz w:val="24"/>
          <w:szCs w:val="24"/>
          <w14:textFill>
            <w14:solidFill>
              <w14:schemeClr w14:val="tx1"/>
            </w14:solidFill>
          </w14:textFill>
        </w:rPr>
        <w:t>不可抗力事件延续</w:t>
      </w:r>
      <w:r>
        <w:rPr>
          <w:rFonts w:hAnsi="宋体"/>
          <w:color w:val="000000" w:themeColor="text1"/>
          <w:sz w:val="24"/>
          <w:szCs w:val="24"/>
          <w14:textFill>
            <w14:solidFill>
              <w14:schemeClr w14:val="tx1"/>
            </w14:solidFill>
          </w14:textFill>
        </w:rPr>
        <w:t>120</w:t>
      </w:r>
      <w:r>
        <w:rPr>
          <w:rFonts w:hint="eastAsia" w:hAnsi="宋体"/>
          <w:color w:val="000000" w:themeColor="text1"/>
          <w:sz w:val="24"/>
          <w:szCs w:val="24"/>
          <w14:textFill>
            <w14:solidFill>
              <w14:schemeClr w14:val="tx1"/>
            </w14:solidFill>
          </w14:textFill>
        </w:rPr>
        <w:t>天以上，双方应通过友好协商，确定是否继续履行合同。</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十七、诉讼</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17.1 </w:t>
      </w:r>
      <w:r>
        <w:rPr>
          <w:rFonts w:hint="eastAsia" w:hAnsi="宋体"/>
          <w:color w:val="000000" w:themeColor="text1"/>
          <w:sz w:val="24"/>
          <w:szCs w:val="24"/>
          <w14:textFill>
            <w14:solidFill>
              <w14:schemeClr w14:val="tx1"/>
            </w14:solidFill>
          </w14:textFill>
        </w:rPr>
        <w:t>双方在执行合同中所发生的一切争议，应通过协商解决。如协商不成，可向合同签订地法院起诉，合同签订地在此约定为盐城市。</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十八、合同生效及其它</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18.1 </w:t>
      </w:r>
      <w:r>
        <w:rPr>
          <w:rFonts w:hint="eastAsia" w:hAnsi="宋体"/>
          <w:color w:val="000000" w:themeColor="text1"/>
          <w:sz w:val="24"/>
          <w:szCs w:val="24"/>
          <w14:textFill>
            <w14:solidFill>
              <w14:schemeClr w14:val="tx1"/>
            </w14:solidFill>
          </w14:textFill>
        </w:rPr>
        <w:t>合同经双方法定代表人或授权委托代表人签字并加盖单位公章后生效。</w:t>
      </w:r>
    </w:p>
    <w:p>
      <w:pPr>
        <w:pStyle w:val="23"/>
        <w:snapToGrid w:val="0"/>
        <w:spacing w:before="120" w:after="120" w:line="5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18.2</w:t>
      </w:r>
      <w:r>
        <w:rPr>
          <w:rFonts w:hint="eastAsia" w:hAnsi="宋体"/>
          <w:color w:val="000000" w:themeColor="text1"/>
          <w:sz w:val="24"/>
          <w:szCs w:val="24"/>
          <w14:textFill>
            <w14:solidFill>
              <w14:schemeClr w14:val="tx1"/>
            </w14:solidFill>
          </w14:textFill>
        </w:rPr>
        <w:t>本合同未尽事宜，遵照《</w:t>
      </w:r>
      <w:r>
        <w:rPr>
          <w:rFonts w:hint="eastAsia" w:hAnsi="宋体"/>
          <w:color w:val="000000" w:themeColor="text1"/>
          <w:sz w:val="24"/>
          <w:szCs w:val="24"/>
          <w:lang w:eastAsia="zh-CN"/>
          <w14:textFill>
            <w14:solidFill>
              <w14:schemeClr w14:val="tx1"/>
            </w14:solidFill>
          </w14:textFill>
        </w:rPr>
        <w:t>民法典</w:t>
      </w:r>
      <w:r>
        <w:rPr>
          <w:rFonts w:hint="eastAsia" w:hAnsi="宋体"/>
          <w:color w:val="000000" w:themeColor="text1"/>
          <w:sz w:val="24"/>
          <w:szCs w:val="24"/>
          <w14:textFill>
            <w14:solidFill>
              <w14:schemeClr w14:val="tx1"/>
            </w14:solidFill>
          </w14:textFill>
        </w:rPr>
        <w:t>》有关条文执行。</w:t>
      </w:r>
    </w:p>
    <w:p>
      <w:pPr>
        <w:pStyle w:val="23"/>
        <w:snapToGrid w:val="0"/>
        <w:spacing w:before="120" w:after="120" w:line="500" w:lineRule="exact"/>
        <w:rPr>
          <w:rFonts w:hAnsi="宋体"/>
          <w:b/>
          <w:color w:val="000000" w:themeColor="text1"/>
          <w:sz w:val="24"/>
          <w:szCs w:val="24"/>
          <w14:textFill>
            <w14:solidFill>
              <w14:schemeClr w14:val="tx1"/>
            </w14:solidFill>
          </w14:textFill>
        </w:rPr>
      </w:pPr>
      <w:r>
        <w:rPr>
          <w:rFonts w:hAnsi="宋体"/>
          <w:b/>
          <w:color w:val="000000" w:themeColor="text1"/>
          <w:sz w:val="24"/>
          <w:szCs w:val="24"/>
          <w14:textFill>
            <w14:solidFill>
              <w14:schemeClr w14:val="tx1"/>
            </w14:solidFill>
          </w14:textFill>
        </w:rPr>
        <w:t xml:space="preserve">18.3 </w:t>
      </w:r>
      <w:r>
        <w:rPr>
          <w:rFonts w:hint="eastAsia" w:hAnsi="宋体"/>
          <w:b/>
          <w:color w:val="000000" w:themeColor="text1"/>
          <w:sz w:val="24"/>
          <w:szCs w:val="24"/>
          <w14:textFill>
            <w14:solidFill>
              <w14:schemeClr w14:val="tx1"/>
            </w14:solidFill>
          </w14:textFill>
        </w:rPr>
        <w:t>本合同一式</w:t>
      </w:r>
      <w:r>
        <w:rPr>
          <w:rFonts w:hint="eastAsia" w:hAnsi="宋体"/>
          <w:b/>
          <w:color w:val="000000" w:themeColor="text1"/>
          <w:sz w:val="24"/>
          <w:szCs w:val="24"/>
          <w:lang w:val="en-US" w:eastAsia="zh-CN"/>
          <w14:textFill>
            <w14:solidFill>
              <w14:schemeClr w14:val="tx1"/>
            </w14:solidFill>
          </w14:textFill>
        </w:rPr>
        <w:t>六</w:t>
      </w:r>
      <w:r>
        <w:rPr>
          <w:rFonts w:hint="eastAsia" w:hAnsi="宋体"/>
          <w:b/>
          <w:color w:val="000000" w:themeColor="text1"/>
          <w:sz w:val="24"/>
          <w:szCs w:val="24"/>
          <w14:textFill>
            <w14:solidFill>
              <w14:schemeClr w14:val="tx1"/>
            </w14:solidFill>
          </w14:textFill>
        </w:rPr>
        <w:t>份，具有同等法律效力，甲方、乙方各执</w:t>
      </w:r>
      <w:r>
        <w:rPr>
          <w:rFonts w:hint="eastAsia" w:hAnsi="宋体"/>
          <w:b/>
          <w:color w:val="000000" w:themeColor="text1"/>
          <w:sz w:val="24"/>
          <w:szCs w:val="24"/>
          <w:lang w:val="en-US" w:eastAsia="zh-CN"/>
          <w14:textFill>
            <w14:solidFill>
              <w14:schemeClr w14:val="tx1"/>
            </w14:solidFill>
          </w14:textFill>
        </w:rPr>
        <w:t>三</w:t>
      </w:r>
      <w:r>
        <w:rPr>
          <w:rFonts w:hint="eastAsia" w:hAnsi="宋体"/>
          <w:b/>
          <w:color w:val="000000" w:themeColor="text1"/>
          <w:sz w:val="24"/>
          <w:szCs w:val="24"/>
          <w14:textFill>
            <w14:solidFill>
              <w14:schemeClr w14:val="tx1"/>
            </w14:solidFill>
          </w14:textFill>
        </w:rPr>
        <w:t>份。</w:t>
      </w:r>
      <w:r>
        <w:rPr>
          <w:rFonts w:hint="eastAsia" w:hAnsi="宋体"/>
          <w:b/>
          <w:color w:val="000000" w:themeColor="text1"/>
          <w:sz w:val="24"/>
          <w:szCs w:val="24"/>
          <w14:textFill>
            <w14:solidFill>
              <w14:schemeClr w14:val="tx1"/>
            </w14:solidFill>
          </w14:textFill>
        </w:rPr>
        <w:br w:type="textWrapping"/>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乙方：</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地址：</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地址：</w:t>
      </w:r>
    </w:p>
    <w:p>
      <w:pPr>
        <w:pStyle w:val="23"/>
        <w:snapToGrid w:val="0"/>
        <w:spacing w:before="120" w:after="120" w:line="50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法定代表人或授权代表：</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法定代表人或授权代表：</w:t>
      </w:r>
    </w:p>
    <w:p>
      <w:pPr>
        <w:pStyle w:val="23"/>
        <w:snapToGrid w:val="0"/>
        <w:spacing w:before="120" w:after="120" w:line="500" w:lineRule="exact"/>
        <w:ind w:firstLine="480" w:firstLineChars="200"/>
        <w:rPr>
          <w:rFonts w:hAnsi="宋体"/>
          <w:b/>
          <w:color w:val="auto"/>
          <w:sz w:val="36"/>
          <w:szCs w:val="36"/>
        </w:rPr>
      </w:pPr>
      <w:r>
        <w:rPr>
          <w:rFonts w:hint="eastAsia" w:hAnsi="宋体"/>
          <w:color w:val="000000" w:themeColor="text1"/>
          <w:sz w:val="24"/>
          <w:szCs w:val="24"/>
          <w14:textFill>
            <w14:solidFill>
              <w14:schemeClr w14:val="tx1"/>
            </w14:solidFill>
          </w14:textFill>
        </w:rPr>
        <w:t>联系电话：</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联系电话：</w:t>
      </w:r>
      <w:r>
        <w:rPr>
          <w:rFonts w:hAnsi="宋体"/>
          <w:color w:val="000000" w:themeColor="text1"/>
          <w:sz w:val="24"/>
          <w:szCs w:val="24"/>
          <w14:textFill>
            <w14:solidFill>
              <w14:schemeClr w14:val="tx1"/>
            </w14:solidFill>
          </w14:textFill>
        </w:rPr>
        <w:br w:type="textWrapping"/>
      </w:r>
      <w:r>
        <w:rPr>
          <w:rFonts w:hint="eastAsia"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 xml:space="preserve">年   月   日                            </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年   月   日</w:t>
      </w: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hAnsi="宋体"/>
          <w:b/>
          <w:color w:val="auto"/>
          <w:sz w:val="36"/>
          <w:szCs w:val="36"/>
        </w:rPr>
      </w:pPr>
    </w:p>
    <w:p>
      <w:pPr>
        <w:pStyle w:val="23"/>
        <w:snapToGrid w:val="0"/>
        <w:spacing w:before="120" w:after="120" w:line="500" w:lineRule="exact"/>
        <w:jc w:val="center"/>
        <w:rPr>
          <w:rFonts w:hint="eastAsia"/>
        </w:rPr>
      </w:pPr>
      <w:r>
        <w:rPr>
          <w:rFonts w:hint="eastAsia" w:hAnsi="宋体"/>
          <w:b/>
          <w:color w:val="auto"/>
          <w:sz w:val="36"/>
          <w:szCs w:val="36"/>
        </w:rPr>
        <w:t>第四章  采购需求</w:t>
      </w:r>
      <w:bookmarkEnd w:id="152"/>
      <w:bookmarkEnd w:id="153"/>
      <w:bookmarkEnd w:id="154"/>
      <w:bookmarkStart w:id="157" w:name="_Toc26554093"/>
      <w:bookmarkStart w:id="158" w:name="_Toc120614281"/>
      <w:bookmarkStart w:id="159" w:name="_Toc49090575"/>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71"/>
        <w:gridCol w:w="6537"/>
        <w:gridCol w:w="66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w:t>
            </w:r>
          </w:p>
          <w:p>
            <w:pPr>
              <w:spacing w:line="500" w:lineRule="exact"/>
              <w:jc w:val="center"/>
              <w:rPr>
                <w:rFonts w:hint="eastAsia"/>
                <w:vertAlign w:val="baseline"/>
              </w:rPr>
            </w:pPr>
            <w:r>
              <w:rPr>
                <w:rFonts w:hint="eastAsia" w:ascii="宋体" w:hAnsi="宋体"/>
                <w:b/>
                <w:color w:val="000000" w:themeColor="text1"/>
                <w:sz w:val="24"/>
                <w:szCs w:val="24"/>
                <w14:textFill>
                  <w14:solidFill>
                    <w14:schemeClr w14:val="tx1"/>
                  </w14:solidFill>
                </w14:textFill>
              </w:rPr>
              <w:t>号</w:t>
            </w:r>
          </w:p>
        </w:tc>
        <w:tc>
          <w:tcPr>
            <w:tcW w:w="1271" w:type="dxa"/>
            <w:vAlign w:val="center"/>
          </w:tcPr>
          <w:p>
            <w:pPr>
              <w:spacing w:line="500" w:lineRule="exact"/>
              <w:jc w:val="center"/>
              <w:rPr>
                <w:rFonts w:hint="eastAsia"/>
                <w:vertAlign w:val="baseline"/>
              </w:rPr>
            </w:pPr>
            <w:r>
              <w:rPr>
                <w:rFonts w:hint="eastAsia" w:ascii="宋体" w:hAnsi="宋体"/>
                <w:b/>
                <w:color w:val="000000" w:themeColor="text1"/>
                <w:sz w:val="24"/>
                <w:szCs w:val="24"/>
                <w14:textFill>
                  <w14:solidFill>
                    <w14:schemeClr w14:val="tx1"/>
                  </w14:solidFill>
                </w14:textFill>
              </w:rPr>
              <w:t>货物名称</w:t>
            </w:r>
          </w:p>
        </w:tc>
        <w:tc>
          <w:tcPr>
            <w:tcW w:w="6537" w:type="dxa"/>
            <w:vAlign w:val="center"/>
          </w:tcPr>
          <w:p>
            <w:pPr>
              <w:spacing w:line="500" w:lineRule="exact"/>
              <w:jc w:val="center"/>
              <w:rPr>
                <w:rFonts w:hint="eastAsia"/>
                <w:vertAlign w:val="baseline"/>
              </w:rPr>
            </w:pPr>
            <w:r>
              <w:rPr>
                <w:rFonts w:hint="eastAsia" w:ascii="宋体" w:hAnsi="宋体"/>
                <w:b/>
                <w:color w:val="000000" w:themeColor="text1"/>
                <w:sz w:val="24"/>
                <w:szCs w:val="24"/>
                <w14:textFill>
                  <w14:solidFill>
                    <w14:schemeClr w14:val="tx1"/>
                  </w14:solidFill>
                </w14:textFill>
              </w:rPr>
              <w:t>技术参数</w:t>
            </w:r>
          </w:p>
        </w:tc>
        <w:tc>
          <w:tcPr>
            <w:tcW w:w="668" w:type="dxa"/>
            <w:vAlign w:val="center"/>
          </w:tcPr>
          <w:p>
            <w:pPr>
              <w:spacing w:line="500" w:lineRule="exact"/>
              <w:jc w:val="center"/>
              <w:rPr>
                <w:rFonts w:hint="eastAsia"/>
                <w:vertAlign w:val="baseline"/>
              </w:rPr>
            </w:pPr>
            <w:r>
              <w:rPr>
                <w:rFonts w:hint="eastAsia" w:ascii="宋体" w:hAnsi="宋体"/>
                <w:b/>
                <w:color w:val="000000" w:themeColor="text1"/>
                <w:sz w:val="24"/>
                <w:szCs w:val="24"/>
                <w14:textFill>
                  <w14:solidFill>
                    <w14:schemeClr w14:val="tx1"/>
                  </w14:solidFill>
                </w14:textFill>
              </w:rPr>
              <w:t>单位</w:t>
            </w:r>
          </w:p>
        </w:tc>
        <w:tc>
          <w:tcPr>
            <w:tcW w:w="627" w:type="dxa"/>
            <w:vAlign w:val="center"/>
          </w:tcPr>
          <w:p>
            <w:pPr>
              <w:spacing w:line="500" w:lineRule="exact"/>
              <w:jc w:val="center"/>
              <w:rPr>
                <w:rFonts w:hint="eastAsia"/>
                <w:vertAlign w:val="baseline"/>
              </w:rPr>
            </w:pPr>
            <w:r>
              <w:rPr>
                <w:rFonts w:hint="eastAsia" w:ascii="宋体" w:hAnsi="宋体"/>
                <w:b/>
                <w:color w:val="000000" w:themeColor="text1"/>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42" w:type="dxa"/>
            <w:gridSpan w:val="5"/>
            <w:vAlign w:val="center"/>
          </w:tcPr>
          <w:p>
            <w:pPr>
              <w:tabs>
                <w:tab w:val="left" w:pos="6214"/>
              </w:tabs>
              <w:spacing w:line="500" w:lineRule="exact"/>
              <w:jc w:val="center"/>
              <w:rPr>
                <w:rFonts w:hint="eastAsia" w:ascii="宋体" w:hAnsi="宋体" w:eastAsia="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朗达壹号院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1、输入端：FUSE选择需要考虑到I^2T参数。保险丝的分类，快断，慢断，电流，电压值，保险丝的认证是否齐全。保险丝前的安规距离2.5mm以上。设计时尽量放到3mm以上。需考虑打雷击时，保险丝I2T是否有余量，会不会打挂掉。2、电源适配器压敏电阻：图中可以增加一个压敏电阻，一般采用14D471,也可采用561，直径越大抗浪涌电流越大，也有增强版的10S471,14S471等，一般14D471打1KV,2KV雷击够用了，增加雷击电压就要换成MOV+GDT。有必要时，压敏电阻外包个热缩套管。3、VCC启动电阻：注意启动电阻的功耗，主要是耐压值，1206一般耐压200V,0805一般耐压150V，能多留余量比较好。4电:100VaC；调整范围:90264ac；5、输入频率:额定频率:50-60H2；调整频率:47-63Hz；6、输出特性:单路输出24V6A；输出功率:144W；输出负载特性/调整率:线性调整±3%;负载调整±5%；最小空载电压:三路分别是24V.12V5V；纹波:单个干扰波的干扰电压峰峰值应1000mV,连续多个干扰波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峰峰值应≤300m；7效率:当输入240Vac和输出最大负载时,最小88%；当输入100Vac和输出最大负载时,最小86%；带PFC模块。8、待机功耗mW麻烦提供参考的待机功耗；9、过冲:在电源开启或关闭的时候,最大15%。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3"/>
              </w:numPr>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3、5G千兆工作于纯净5GHz频段，干扰更少，无线传输距离达15千米以上；</w:t>
            </w:r>
          </w:p>
          <w:p>
            <w:pPr>
              <w:keepNext w:val="0"/>
              <w:keepLines w:val="0"/>
              <w:widowControl/>
              <w:numPr>
                <w:ilvl w:val="0"/>
                <w:numId w:val="4"/>
              </w:numPr>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4"/>
              </w:numPr>
              <w:suppressLineNumbers w:val="0"/>
              <w:ind w:left="0" w:leftChars="0" w:firstLine="0" w:firstLineChars="0"/>
              <w:jc w:val="left"/>
              <w:textAlignment w:val="center"/>
              <w:rPr>
                <w:rFonts w:hint="eastAsia"/>
                <w:lang w:val="en-US" w:eastAsia="zh-CN"/>
              </w:rPr>
            </w:pPr>
            <w:r>
              <w:rPr>
                <w:rFonts w:hint="eastAsia" w:ascii="宋体" w:hAnsi="宋体" w:eastAsia="宋体" w:cs="宋体"/>
                <w:color w:val="000000"/>
                <w:kern w:val="0"/>
                <w:sz w:val="18"/>
                <w:szCs w:val="18"/>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2.4G网桥</w:t>
            </w:r>
          </w:p>
        </w:tc>
        <w:tc>
          <w:tcPr>
            <w:tcW w:w="6537" w:type="dxa"/>
            <w:vAlign w:val="center"/>
          </w:tcPr>
          <w:p>
            <w:pPr>
              <w:keepNext w:val="0"/>
              <w:keepLines w:val="0"/>
              <w:widowControl/>
              <w:numPr>
                <w:ilvl w:val="0"/>
                <w:numId w:val="0"/>
              </w:numPr>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15</w:t>
            </w:r>
            <w:r>
              <w:rPr>
                <w:rFonts w:hint="eastAsia" w:ascii="宋体" w:hAnsi="宋体" w:eastAsia="宋体" w:cs="宋体"/>
                <w:color w:val="000000"/>
                <w:kern w:val="0"/>
                <w:sz w:val="18"/>
                <w:szCs w:val="18"/>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电源线长 1.8米/3米/5米/10米孔位数 6个额定电流 10A额定电压 250V环境温度 750（℃）壳体材质；阻燃PP材料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highlight w:val="none"/>
                <w:vertAlign w:val="baseline"/>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highlight w:val="none"/>
                <w:vertAlign w:val="baseline"/>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荷塘月色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西城逸景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福锦苑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网络视频输入 16路网络视频接入带宽 160Mbps网络视频接入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同步回放 16 路；录像/抓图模式 手动录像、定时录像、移动侦测录像、报警录像、动测或报警录像、动测且报警录像、智能侦测录像；回放模式 即时回放、常规回放、事件回放、标签回放、智能回放、分时段回放、外部文件回放；备份模式 常规备份、事件备份、录像剪辑备份；类型 8个SATA接口，1个eSATA接口；容量 每个接口均支持500GB/1TB/2TB/3TB/4TB/5TB/6TB 等容量硬盘；语音对讲输入 1个，RCA接口（电平：2.0Vp-p，阻抗：1kΩ）；网络接口 2个，RJ45 10M/100M/1000M自适应以太网口；串行接口 1个，标准RS-485串行接口；1个，键盘(KB)485串口；1个，RS-232串行接口；USB接口 2个USB2.0，1个USB3.0；报警输入 16路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报警输出 4路(选配8路)；网络协议 UPnP（即插即用）、 SNMP（简单网络管理）、NTP（网络校时）、SADP（自动搜索IP地址）、SMTP（邮件服务）、 NFS（接入NAS）、iSCSI（IP SAN应用）、PPPoE（拨号上网）、DHCP（动态域名解析）；电源 AC 220V；功耗（不含硬盘） ≤30W；工作温度 -10℃--＋55℃；工作湿度 10％--90％；机箱 19英寸标准2U</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显示器</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显示器：21英寸，分辨率1920*1080</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云溪美地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4电:100VaC；调整范围:90264ac；</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馨隆花苑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17"/>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17"/>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17"/>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8、待机功耗mW麻烦提供参考的待机功耗；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18"/>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17"/>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17"/>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17"/>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尚海滩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19"/>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2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21"/>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2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21"/>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支持ISUP/GB28181-2016等协议上平台,国标协议和ISUP或者可接驳符合 ONVIF、RTSP标准及众多主流厂商的网络摄像机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支持H.265、 Smart2265、h.264、 Smart2264编码的前端设备自适应接入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•支持2个HDM和2个VGA同时输出,其中HDM1支持4K高清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分辨率输出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支持2个USB2.0,2个USB3.0接口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支持8个SATA接口,1个 eSATA盘库,可用于录像和备份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支持两路12V直流供电输出,其中一路为受控12V(报警输出带负载)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支持最大16路同步回放及多路同步倒放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•支持接入监控盘、企业盘、加密盘,支持最高满配12B硬盘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•支持热成像相机的接入、存储、报警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•支持接入混合抓拍事件,可事实展示人脸、人体、车辆目标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支持接入多个客流相机,合并统计客流数据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•支持组合报警功能, alarm in和其他事件报警类型支持组合触发报警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•支持RAIDO、RAID1、RAID5、RAID6和RAD10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支持硬盘配额和硬盘盘组两种存储模式,可对不同通道分配不同的录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像保存容量或周期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支持IP、MAC地址黑白名单功</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碧水嘉园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智能侦测：采用深度学习硬件及算法，提供精准的人车侦测，支持联动白光报警支持联动声音报警；图像相关：最高分辨率可达1920 × 1080 @25 fps，在该分辨率下可输出实时图像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码流平滑设置，适应不同场景下对图像质量、流畅性的不同要求，支持低码率、低延时、ROI感兴趣区域增强编码，支持GBK字库，支持更多汉子及生僻字叠加，支持SVC自适应编码技术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支持OSD颜色自选，支持3D数字降噪，支持120 dB宽动态，红外功能：高效红外灯，使用寿命长，照射距离最远可达30m，支持Smart IR，防止夜间红外过曝，ICR红外滤片式自动切换，实现真正的日夜监控，支持日夜两套参数独立配置，系统功能：支持双码流，支持手机监控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支持开放型网络视频接口，ISAPI，GB2818协议，支持萤石云平台接入；支持PoE供电；符合IP67级防尘防水设计，可靠性高；功能齐全：心跳，镜像等；内置麦克风和扬声器；接口功能；支持10 M/100 M自适应网口；支持Micro SD/Micro SDHC/Micro SDXC卡（最大256GB）本地存储；支持1对音频接口；支持1路报警输入；支持1路报警输出；支持两线式DC12 V，100 mA电源输出，用于给拾音器供电；安全服务；支持三级用户权限管理，支持授权的用户和密码，支持IP地址过滤；初始设备开机修改密码，保障密码安全支持用户登录锁定机制；最高分辨率可达1920 × 1080 @25 fps，在该分辨率下可输出实时图像；支持背光补偿，强光抑制，3D数字降噪，120 dB宽动态，适应不同监控环境；采用高效阵列红外灯，使用寿命长，红外照射距离最远可达50m或80m；支持白光灯补光，照射距离最远可达30m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1个内置麦克风，1个内置扬声器，支持双向语音对讲；支持最大256 GB Micro SD/Micro SDHC/Micro SDXC卡本地存储；符合IP66防尘防水设计，可靠性高；支持LTE-TDD/LTE-FDD/WCDMA/TD-SCDMA/CDMA/GSM4G无线网络传输；采用深度学习硬件及算法，提供精准的人车分类侦测，支持越界侦测和区域入侵侦测；支持HTTPS等安全认证，支持创建证书</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6537" w:type="dxa"/>
            <w:vAlign w:val="center"/>
          </w:tcPr>
          <w:p>
            <w:pPr>
              <w:keepNext w:val="0"/>
              <w:keepLines w:val="0"/>
              <w:widowControl/>
              <w:numPr>
                <w:ilvl w:val="0"/>
                <w:numId w:val="22"/>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端：FUSE选择需要考虑到I^2T参数。保险丝的分类，快断，慢断，电流，电压值，保险丝的认证是否齐全。保险丝前的安规距离2.5mm以上。设计时尽量放到3mm以上。需考虑打雷击时，保险丝I2T是否有余量，会不会打挂掉。</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适配器压敏电阻：图中可以增加一个压敏电阻，一般采用14D471,也可采用561，直径越大抗浪涌电流越大，也有增强版的10S471,14S471等，一般14D471打1KV,2KV雷击够用了，增加雷击电压就要换成MOV+GDT。有必要时，压敏电阻外包个热缩套管。</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VCC启动电阻：注意启动电阻的功耗，主要是耐压值，1206一般耐压200V,0805一般耐压150V，能多留余量比较好。</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电:100VaC；调整范围:90264ac；</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输入频率:额定频率:50-60H2；调整频率:47-63Hz；</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输出特性:单路输出24V6A；输出功率:144W；输出负载特性/调整率:线性调整±3%;负载调整±5%；最小空载电压:三路分别是24V.12V5V；纹波:单个干扰波的干扰电压峰峰值应1000mV,连续多个干扰波的峰峰值应≤300m；</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效率:当输入240Vac和输出最大负载时,最小88%；当输入100Vac和输出最大负载时,最小86%；带PFC模块。</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待机功耗mW麻烦提供参考的待机功耗；</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过冲:在电源开启或关闭的时候,最大15%。</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10、短路电路保护:该电源供给器在短路解除时,能恢复正常工作。</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653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4G流量（满足项目正常使用）与一切通讯资费。</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台可查看绑定的各种设备的状态、信息，可添加、删除、修改设备信息；当平台接收到设备的报警信息后，平台发出告警提醒管理员并将报警信息语音、短信、APP通知到各级负责人。各类传感器检测到设备所处安装环境异常后，传感器自身立即发出报警并将报警信息发送至云服务器，服务器接收到报警信息后立即上传到消防预警平台。平台接收到报警信息后，平台发出告警提醒管理员并将报警信息语音、短信、APP通知到各级负责人。</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6537" w:type="dxa"/>
            <w:vAlign w:val="center"/>
          </w:tcPr>
          <w:p>
            <w:pPr>
              <w:keepNext w:val="0"/>
              <w:keepLines w:val="0"/>
              <w:widowControl/>
              <w:numPr>
                <w:ilvl w:val="0"/>
                <w:numId w:val="23"/>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提供IP55级防尘、防水，支持15KV ESD静电防护和4KV雷电防护，适应各种恶劣环境。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2、4G百兆最高可达867M无线传输速率，内置室外高增益双极化天线，外置高性能独立功放电路（PA）和低噪声功放接收电路（LNA），提供27dBm(500mW)的发射功率和-95dBm的接受灵敏度，特别适合室外远距离WLAN应用。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3、5G千兆工作于纯净5GHz频段，干扰更少，无线传输距离达15千米以上；</w:t>
            </w:r>
          </w:p>
          <w:p>
            <w:pPr>
              <w:keepNext w:val="0"/>
              <w:keepLines w:val="0"/>
              <w:widowControl/>
              <w:numPr>
                <w:ilvl w:val="0"/>
                <w:numId w:val="24"/>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CPE采用Passive PoE网线供电，100米电力传输，方便室外环境接入电源，可灵活布点。CPE LAN1 端口具有PoE供电功能，可同时传输数据和为受电设备供电，可灵活部署PoE受电设备。</w:t>
            </w:r>
          </w:p>
          <w:p>
            <w:pPr>
              <w:keepNext w:val="0"/>
              <w:keepLines w:val="0"/>
              <w:widowControl/>
              <w:numPr>
                <w:ilvl w:val="0"/>
                <w:numId w:val="24"/>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WEB管理系统提供丰富的软件功能，可集中查看系统资源状态、无线信号质量、射频状态、吞吐量、无线客户端等系统工作参数，实时掌控设备工作状态；</w:t>
            </w:r>
          </w:p>
          <w:p>
            <w:pPr>
              <w:keepNext w:val="0"/>
              <w:keepLines w:val="0"/>
              <w:widowControl/>
              <w:numPr>
                <w:ilvl w:val="0"/>
                <w:numId w:val="24"/>
              </w:numPr>
              <w:suppressLineNumbers w:val="0"/>
              <w:ind w:left="0" w:leftChars="0" w:firstLine="0" w:firstLine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网桥集中管理软件统一管理所有室外无线基站和CPE系列产品，提供设备发现、工作状态监控、固件统一升级、定时任务、邮件告警等丰富的管理功能，降低大规模部署时的管理维护工作量</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6537" w:type="dxa"/>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Mbps入速率，2个10/100MbpsLAN扣口，12dbi定向天线，4.3W整机功耗，12V1A被动poe</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16路硬盘录像机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网络视频输入 16路网络视频接入带宽 160Mbps网络视频接入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同步回放 16 路；录像/抓图模式 手动录像、定时录像、移动侦测录像、报警录像、动测或报警录像、动测且报警录像、智能侦测录像；回放模式 即时回放、常规回放、事件回放、标签回放、智能回放、分时段回放、外部文件回放；备份模式 常规备份、事件备份、录像剪辑备份；类型 8个SATA接口，1个eSATA接口；容量 每个接口均支持500GB/1TB/2TB/3TB/4TB/5TB/6TB 等容量硬盘；语音对讲输入 1个，RCA接口（电平：2.0Vp-p，阻抗：1kΩ）；网络接口 2个，RJ45 10M/100M/1000M自适应以太网口；串行接口 1个，标准RS-485串行接口；1个，键盘(KB)485串口；1个，RS-232串行接口；USB接口 2个USB2.0，1个USB3.0；报警输入 16路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报警输出 4路(选配8路)；网络协议 UPnP（即插即用）、 SNMP（简单网络管理）、NTP（网络校时）、SADP（自动搜索IP地址）、SMTP（邮件服务）、 NFS（接入NAS）、iSCSI（IP SAN应用）、PPPoE（拨号上网）、DHCP（动态域名解析）；电源 AC 220V；功耗（不含硬盘） ≤30W；工作温度 -10℃--＋55℃；工作湿度 10％--90％；机箱 19英寸标准2U</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容量（GB） 4000接口 SATA 6Gb/s缓存 64MB工作温度 0-65℃存储温度 -40-70℃产品特性1 外形规格：3.5英寸</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传输速率 10/100/1000Mbps交换方式 存储-转发包转发率 11.904MppsMAC地址表 4K端口数量 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端口描述 8个10/100/1000Mbps以太网口，MDI/MDI-X自适应传输模式 全双工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网络标准 IEEE 802.3，IEEE 802.3u，IEEE 802.3x电源电压 5V DC，1A电源功率 3.2W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环境标准 工作温度：0-40℃其它参数 交换容量：16Gbps</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外壳材质 :冷轧钢板、不锈钢型号 :SM-HDY23产品认证 :CCC短路关合电流 :50（KA）外形尺寸 :定做（mm）物料编号 :0127壳体防护等级 :IP55加工定制 :是额定电流 :220（A）</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 xml:space="preserve">电源线长 1.8米/3米/5米/10米孔位数 6个额定电流 10A额定电压 250V环境温度 750（℃）壳体材质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阻燃PP材料</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网线水晶头、电源头、管材等接插件、插排等</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产品适用 网络布线最大单段长度 130米传输速率 1000Mbps材质：无氧铜适用于10/100/1000 BASE-TX以太网数据传输数率10/100/1000Mbps 用于千兆网络的接入，千兆网络设备的互联，如百兆交换机与千兆交换机，带千兆网卡的PC与爆照交换机的互联PC到PC、PC到ADSL、PC到HUB、PC到Fibercom，还可以和笔记本网卡相连</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13</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653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铜质护套线，BVV2×2.5</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42" w:type="dxa"/>
            <w:gridSpan w:val="5"/>
            <w:vAlign w:val="center"/>
          </w:tcPr>
          <w:p>
            <w:pPr>
              <w:jc w:val="center"/>
              <w:rPr>
                <w:rFonts w:hint="eastAsia" w:ascii="宋体" w:hAnsi="宋体" w:eastAsia="宋体" w:cs="宋体"/>
                <w:b w:val="0"/>
                <w:bCs w:val="0"/>
                <w:sz w:val="18"/>
                <w:szCs w:val="18"/>
              </w:rPr>
            </w:pPr>
            <w:r>
              <w:rPr>
                <w:rFonts w:hint="eastAsia" w:ascii="宋体" w:hAnsi="宋体" w:eastAsia="宋体" w:cs="宋体"/>
                <w:b/>
                <w:bCs/>
                <w:sz w:val="24"/>
                <w:szCs w:val="24"/>
              </w:rPr>
              <w:t>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前端智能终端</w:t>
            </w:r>
          </w:p>
        </w:tc>
        <w:tc>
          <w:tcPr>
            <w:tcW w:w="6537" w:type="dxa"/>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尺寸：350*300*250， 4个10/100M自适应RJ45端口（Auto MDI/MDIX），10Base-T：千兆单模单纤，传输距离20KM、RJ45 4级防雷、支持IEEE802.1AZ能效管理，回网防御。一旦雷击或其他原因造成断电断网，设备掉电或前段设备故障中心立即报警，报警设备立即启动UPS电池</w:t>
            </w:r>
            <w:r>
              <w:rPr>
                <w:rFonts w:hint="eastAsia" w:ascii="宋体" w:hAnsi="宋体" w:cs="宋体"/>
                <w:i w:val="0"/>
                <w:iCs w:val="0"/>
                <w:color w:val="000000"/>
                <w:kern w:val="0"/>
                <w:sz w:val="18"/>
                <w:szCs w:val="18"/>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color w:val="000000" w:themeColor="text1"/>
                <w:sz w:val="18"/>
                <w:szCs w:val="18"/>
                <w14:textFill>
                  <w14:solidFill>
                    <w14:schemeClr w14:val="tx1"/>
                  </w14:solidFill>
                </w14:textFill>
              </w:rPr>
              <w:t>★</w:t>
            </w:r>
            <w:r>
              <w:rPr>
                <w:rFonts w:hint="eastAsia" w:ascii="宋体" w:hAnsi="宋体" w:eastAsia="宋体" w:cs="宋体"/>
                <w:i w:val="0"/>
                <w:iCs w:val="0"/>
                <w:color w:val="000000"/>
                <w:kern w:val="0"/>
                <w:sz w:val="18"/>
                <w:szCs w:val="18"/>
                <w:u w:val="none"/>
                <w:lang w:val="en-US" w:eastAsia="zh-CN" w:bidi="ar"/>
              </w:rPr>
              <w:t>可通过专网及时推送短信或微信给相关责任人</w:t>
            </w:r>
            <w:r>
              <w:rPr>
                <w:rFonts w:hint="eastAsia" w:ascii="宋体" w:hAnsi="宋体" w:cs="宋体"/>
                <w:i w:val="0"/>
                <w:iCs w:val="0"/>
                <w:color w:val="000000"/>
                <w:kern w:val="0"/>
                <w:sz w:val="18"/>
                <w:szCs w:val="18"/>
                <w:u w:val="none"/>
                <w:lang w:val="en-US" w:eastAsia="zh-CN" w:bidi="ar"/>
              </w:rPr>
              <w:t>；</w:t>
            </w:r>
            <w:r>
              <w:rPr>
                <w:rFonts w:hint="eastAsia" w:ascii="宋体" w:hAnsi="宋体" w:cs="宋体"/>
                <w:b/>
                <w:bCs/>
                <w:i w:val="0"/>
                <w:iCs w:val="0"/>
                <w:color w:val="000000"/>
                <w:kern w:val="0"/>
                <w:sz w:val="18"/>
                <w:szCs w:val="18"/>
                <w:u w:val="none"/>
                <w:lang w:val="en-US" w:eastAsia="zh-CN" w:bidi="ar"/>
              </w:rPr>
              <w:t>（</w:t>
            </w:r>
            <w:r>
              <w:rPr>
                <w:rFonts w:hint="eastAsia" w:ascii="宋体" w:hAnsi="宋体" w:cs="宋体"/>
                <w:b/>
                <w:bCs/>
                <w:color w:val="000000" w:themeColor="text1"/>
                <w:sz w:val="18"/>
                <w:szCs w:val="18"/>
                <w14:textFill>
                  <w14:solidFill>
                    <w14:schemeClr w14:val="tx1"/>
                  </w14:solidFill>
                </w14:textFill>
              </w:rPr>
              <w:t>投标时需提供公安部检测报告复印件并加盖</w:t>
            </w:r>
            <w:r>
              <w:rPr>
                <w:rFonts w:hint="eastAsia" w:ascii="宋体" w:hAnsi="宋体" w:cs="宋体"/>
                <w:b/>
                <w:bCs/>
                <w:color w:val="000000" w:themeColor="text1"/>
                <w:sz w:val="18"/>
                <w:szCs w:val="18"/>
                <w:lang w:val="en-US" w:eastAsia="zh-CN"/>
                <w14:textFill>
                  <w14:solidFill>
                    <w14:schemeClr w14:val="tx1"/>
                  </w14:solidFill>
                </w14:textFill>
              </w:rPr>
              <w:t>投标人</w:t>
            </w:r>
            <w:r>
              <w:rPr>
                <w:rFonts w:hint="eastAsia" w:ascii="宋体" w:hAnsi="宋体" w:cs="宋体"/>
                <w:b/>
                <w:bCs/>
                <w:color w:val="000000" w:themeColor="text1"/>
                <w:sz w:val="18"/>
                <w:szCs w:val="18"/>
                <w14:textFill>
                  <w14:solidFill>
                    <w14:schemeClr w14:val="tx1"/>
                  </w14:solidFill>
                </w14:textFill>
              </w:rPr>
              <w:t>公章）</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color w:val="000000" w:themeColor="text1"/>
                <w:sz w:val="18"/>
                <w:szCs w:val="18"/>
                <w14:textFill>
                  <w14:solidFill>
                    <w14:schemeClr w14:val="tx1"/>
                  </w14:solidFill>
                </w14:textFill>
              </w:rPr>
              <w:t>★</w:t>
            </w:r>
            <w:r>
              <w:rPr>
                <w:rFonts w:hint="eastAsia" w:ascii="宋体" w:hAnsi="宋体" w:eastAsia="宋体" w:cs="宋体"/>
                <w:i w:val="0"/>
                <w:iCs w:val="0"/>
                <w:color w:val="000000"/>
                <w:kern w:val="0"/>
                <w:sz w:val="18"/>
                <w:szCs w:val="18"/>
                <w:u w:val="none"/>
                <w:lang w:val="en-US" w:eastAsia="zh-CN" w:bidi="ar"/>
              </w:rPr>
              <w:t>平台及时故障告警</w:t>
            </w:r>
            <w:r>
              <w:rPr>
                <w:rFonts w:hint="eastAsia" w:ascii="宋体" w:hAnsi="宋体" w:cs="宋体"/>
                <w:i w:val="0"/>
                <w:iCs w:val="0"/>
                <w:color w:val="000000"/>
                <w:kern w:val="0"/>
                <w:sz w:val="18"/>
                <w:szCs w:val="18"/>
                <w:u w:val="none"/>
                <w:lang w:val="en-US" w:eastAsia="zh-CN" w:bidi="ar"/>
              </w:rPr>
              <w:t>；</w:t>
            </w:r>
            <w:r>
              <w:rPr>
                <w:rFonts w:hint="eastAsia" w:ascii="宋体" w:hAnsi="宋体" w:cs="宋体"/>
                <w:b/>
                <w:bCs/>
                <w:i w:val="0"/>
                <w:iCs w:val="0"/>
                <w:color w:val="000000"/>
                <w:kern w:val="0"/>
                <w:sz w:val="18"/>
                <w:szCs w:val="18"/>
                <w:u w:val="none"/>
                <w:lang w:val="en-US" w:eastAsia="zh-CN" w:bidi="ar"/>
              </w:rPr>
              <w:t>（</w:t>
            </w:r>
            <w:r>
              <w:rPr>
                <w:rFonts w:hint="eastAsia" w:ascii="宋体" w:hAnsi="宋体" w:cs="宋体"/>
                <w:b/>
                <w:bCs/>
                <w:color w:val="000000" w:themeColor="text1"/>
                <w:sz w:val="18"/>
                <w:szCs w:val="18"/>
                <w14:textFill>
                  <w14:solidFill>
                    <w14:schemeClr w14:val="tx1"/>
                  </w14:solidFill>
                </w14:textFill>
              </w:rPr>
              <w:t>投标时需提供公安部检测报告复印件并加盖</w:t>
            </w:r>
            <w:r>
              <w:rPr>
                <w:rFonts w:hint="eastAsia" w:ascii="宋体" w:hAnsi="宋体" w:cs="宋体"/>
                <w:b/>
                <w:bCs/>
                <w:color w:val="000000" w:themeColor="text1"/>
                <w:sz w:val="18"/>
                <w:szCs w:val="18"/>
                <w:lang w:val="en-US" w:eastAsia="zh-CN"/>
                <w14:textFill>
                  <w14:solidFill>
                    <w14:schemeClr w14:val="tx1"/>
                  </w14:solidFill>
                </w14:textFill>
              </w:rPr>
              <w:t>投标人</w:t>
            </w:r>
            <w:r>
              <w:rPr>
                <w:rFonts w:hint="eastAsia" w:ascii="宋体" w:hAnsi="宋体" w:cs="宋体"/>
                <w:b/>
                <w:bCs/>
                <w:color w:val="000000" w:themeColor="text1"/>
                <w:sz w:val="18"/>
                <w:szCs w:val="18"/>
                <w14:textFill>
                  <w14:solidFill>
                    <w14:schemeClr w14:val="tx1"/>
                  </w14:solidFill>
                </w14:textFill>
              </w:rPr>
              <w:t>公章）</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themeColor="text1"/>
                <w:sz w:val="18"/>
                <w:szCs w:val="18"/>
                <w14:textFill>
                  <w14:solidFill>
                    <w14:schemeClr w14:val="tx1"/>
                  </w14:solidFill>
                </w14:textFill>
              </w:rPr>
              <w:t>★</w:t>
            </w:r>
            <w:r>
              <w:rPr>
                <w:rFonts w:hint="eastAsia" w:ascii="宋体" w:hAnsi="宋体" w:eastAsia="宋体" w:cs="宋体"/>
                <w:i w:val="0"/>
                <w:iCs w:val="0"/>
                <w:color w:val="000000"/>
                <w:kern w:val="0"/>
                <w:sz w:val="18"/>
                <w:szCs w:val="18"/>
                <w:u w:val="none"/>
                <w:lang w:val="en-US" w:eastAsia="zh-CN" w:bidi="ar"/>
              </w:rPr>
              <w:t>平台处理信息有记录（对报警信息支持按日期时间进行检索查询功能；对当前、历史故障按照区域和点位进行具体统计，并将统计结果按柱状图展示）；</w:t>
            </w:r>
            <w:r>
              <w:rPr>
                <w:rFonts w:hint="eastAsia" w:ascii="宋体" w:hAnsi="宋体" w:cs="宋体"/>
                <w:b/>
                <w:bCs/>
                <w:i w:val="0"/>
                <w:iCs w:val="0"/>
                <w:color w:val="000000"/>
                <w:kern w:val="0"/>
                <w:sz w:val="18"/>
                <w:szCs w:val="18"/>
                <w:u w:val="none"/>
                <w:lang w:val="en-US" w:eastAsia="zh-CN" w:bidi="ar"/>
              </w:rPr>
              <w:t>（</w:t>
            </w:r>
            <w:r>
              <w:rPr>
                <w:rFonts w:hint="eastAsia" w:ascii="宋体" w:hAnsi="宋体" w:cs="宋体"/>
                <w:b/>
                <w:bCs/>
                <w:color w:val="000000" w:themeColor="text1"/>
                <w:sz w:val="18"/>
                <w:szCs w:val="18"/>
                <w14:textFill>
                  <w14:solidFill>
                    <w14:schemeClr w14:val="tx1"/>
                  </w14:solidFill>
                </w14:textFill>
              </w:rPr>
              <w:t>投标时需提供公安部检测报告复印件并加盖</w:t>
            </w:r>
            <w:r>
              <w:rPr>
                <w:rFonts w:hint="eastAsia" w:ascii="宋体" w:hAnsi="宋体" w:cs="宋体"/>
                <w:b/>
                <w:bCs/>
                <w:color w:val="000000" w:themeColor="text1"/>
                <w:sz w:val="18"/>
                <w:szCs w:val="18"/>
                <w:lang w:val="en-US" w:eastAsia="zh-CN"/>
                <w14:textFill>
                  <w14:solidFill>
                    <w14:schemeClr w14:val="tx1"/>
                  </w14:solidFill>
                </w14:textFill>
              </w:rPr>
              <w:t>投标人</w:t>
            </w:r>
            <w:r>
              <w:rPr>
                <w:rFonts w:hint="eastAsia" w:ascii="宋体" w:hAnsi="宋体" w:cs="宋体"/>
                <w:b/>
                <w:bCs/>
                <w:color w:val="000000" w:themeColor="text1"/>
                <w:sz w:val="18"/>
                <w:szCs w:val="18"/>
                <w14:textFill>
                  <w14:solidFill>
                    <w14:schemeClr w14:val="tx1"/>
                  </w14:solidFill>
                </w14:textFill>
              </w:rPr>
              <w:t>公章）</w:t>
            </w:r>
          </w:p>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r>
              <w:rPr>
                <w:rFonts w:hint="eastAsia" w:ascii="宋体" w:hAnsi="宋体" w:eastAsia="宋体" w:cs="宋体"/>
                <w:i w:val="0"/>
                <w:iCs w:val="0"/>
                <w:color w:val="000000"/>
                <w:kern w:val="0"/>
                <w:sz w:val="18"/>
                <w:szCs w:val="18"/>
                <w:u w:val="none"/>
                <w:lang w:val="en-US" w:eastAsia="zh-CN" w:bidi="ar"/>
              </w:rPr>
              <w:t xml:space="preserve">操作人可以在中心进行前端电源，网络恢复（电源、交换机、前端设备）整个系统能在中心直接控制。 </w:t>
            </w:r>
            <w:r>
              <w:rPr>
                <w:rFonts w:hint="eastAsia" w:ascii="宋体" w:hAnsi="宋体" w:cs="宋体"/>
                <w:b/>
                <w:bCs/>
                <w:i w:val="0"/>
                <w:iCs w:val="0"/>
                <w:color w:val="000000"/>
                <w:kern w:val="0"/>
                <w:sz w:val="18"/>
                <w:szCs w:val="18"/>
                <w:u w:val="none"/>
                <w:lang w:val="en-US" w:eastAsia="zh-CN" w:bidi="ar"/>
              </w:rPr>
              <w:t>（</w:t>
            </w:r>
            <w:r>
              <w:rPr>
                <w:rFonts w:hint="eastAsia" w:ascii="宋体" w:hAnsi="宋体" w:cs="宋体"/>
                <w:b/>
                <w:bCs/>
                <w:color w:val="000000" w:themeColor="text1"/>
                <w:sz w:val="18"/>
                <w:szCs w:val="18"/>
                <w14:textFill>
                  <w14:solidFill>
                    <w14:schemeClr w14:val="tx1"/>
                  </w14:solidFill>
                </w14:textFill>
              </w:rPr>
              <w:t>投标时需提供公安部检测报告复印件并加盖</w:t>
            </w:r>
            <w:r>
              <w:rPr>
                <w:rFonts w:hint="eastAsia" w:ascii="宋体" w:hAnsi="宋体" w:cs="宋体"/>
                <w:b/>
                <w:bCs/>
                <w:color w:val="000000" w:themeColor="text1"/>
                <w:sz w:val="18"/>
                <w:szCs w:val="18"/>
                <w:lang w:val="en-US" w:eastAsia="zh-CN"/>
                <w14:textFill>
                  <w14:solidFill>
                    <w14:schemeClr w14:val="tx1"/>
                  </w14:solidFill>
                </w14:textFill>
              </w:rPr>
              <w:t>投标人</w:t>
            </w:r>
            <w:r>
              <w:rPr>
                <w:rFonts w:hint="eastAsia" w:ascii="宋体" w:hAnsi="宋体" w:cs="宋体"/>
                <w:b/>
                <w:bCs/>
                <w:color w:val="000000" w:themeColor="text1"/>
                <w:sz w:val="18"/>
                <w:szCs w:val="18"/>
                <w14:textFill>
                  <w14:solidFill>
                    <w14:schemeClr w14:val="tx1"/>
                  </w14:solidFill>
                </w14:textFill>
              </w:rPr>
              <w:t>公章）</w:t>
            </w:r>
            <w:r>
              <w:rPr>
                <w:rFonts w:hint="eastAsia" w:ascii="宋体" w:hAnsi="宋体" w:eastAsia="宋体" w:cs="宋体"/>
                <w:i w:val="0"/>
                <w:iCs w:val="0"/>
                <w:color w:val="000000"/>
                <w:kern w:val="0"/>
                <w:sz w:val="18"/>
                <w:szCs w:val="18"/>
                <w:u w:val="none"/>
                <w:lang w:val="en-US" w:eastAsia="zh-CN" w:bidi="ar"/>
              </w:rPr>
              <w:t xml:space="preserve">                                                   </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7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高清摄像头</w:t>
            </w:r>
          </w:p>
        </w:tc>
        <w:tc>
          <w:tcPr>
            <w:tcW w:w="6537" w:type="dxa"/>
            <w:vAlign w:val="center"/>
          </w:tcPr>
          <w:p>
            <w:pPr>
              <w:numPr>
                <w:ilvl w:val="0"/>
                <w:numId w:val="0"/>
              </w:numPr>
              <w:ind w:lef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传感器类型：1/2.8英寸CMOS传感器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总像素：241万像素，有效像素：238万像素； 图像清晰度：950线；光学变焦倍率：20倍，数字变焦倍率：12倍； 焦距：f=4.7mm -94mm； 聚焦系统：自动，手动，PTZ触发、一键触发。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视角：55.4°-2.9°； 快门速度：1/30(25)～ 1/60,000秒； 白平衡：自动，室内，室外，一键触发，手动，自动跟踪； 背光补偿：支持； 信噪比≥50dB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云台传动机构：精密蜗杆传动系统。</w:t>
            </w:r>
          </w:p>
          <w:p>
            <w:pPr>
              <w:jc w:val="left"/>
              <w:rPr>
                <w:rFonts w:ascii="宋体" w:hAnsi="宋体" w:cs="宋体"/>
                <w:sz w:val="18"/>
                <w:szCs w:val="18"/>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水平转动范围：-170°～+170°； 垂直转动范围：-30°～+90°；水平转动速度：0.1°～160°/秒； 垂直转动速度：0.1°~120°/秒； 预置位数量：256个； 预置位精度：0.1°； SDI接口：3G-SDI； SDI视频：1080p/60/50/30/25，1080i/60/50，720p/60/50/30/25； 标清接口：BNC；标清视频：NTSC, PAL； IP输出：支持；IP输出帧率：1080p/30； 支持双路H.264视频编码，支持一路高清和一路标清视频双码流编码同时输出。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 支持1路音频输入和1路音频输出；音频接口：复合；控制接口类型：RS-232IN，RS-232OUT，RS-422/RS-485；支持的协议类型：VISCA并支持菊花链/PELCO-P/PELCO-D； 功耗：＜15W.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sz w:val="18"/>
                <w:szCs w:val="18"/>
              </w:rPr>
              <w:t>★7、摄像机产品可靠性认证MTBF≥3万小时。</w:t>
            </w:r>
            <w:r>
              <w:rPr>
                <w:rFonts w:hint="eastAsia" w:ascii="宋体" w:hAnsi="宋体" w:cs="宋体"/>
                <w:b/>
                <w:bCs/>
                <w:sz w:val="18"/>
                <w:szCs w:val="18"/>
              </w:rPr>
              <w:t>（投标时提供认证证书并加盖投标人公章）</w:t>
            </w:r>
          </w:p>
          <w:p>
            <w:pPr>
              <w:keepNext w:val="0"/>
              <w:keepLines w:val="0"/>
              <w:widowControl/>
              <w:numPr>
                <w:ilvl w:val="0"/>
                <w:numId w:val="0"/>
              </w:numPr>
              <w:suppressLineNumbers w:val="0"/>
              <w:spacing w:after="180" w:afterAutospacing="0"/>
              <w:jc w:val="left"/>
              <w:textAlignment w:val="center"/>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cs="宋体"/>
                <w:sz w:val="18"/>
                <w:szCs w:val="18"/>
              </w:rPr>
              <w:t>8、与现有监控系统无缝对接</w:t>
            </w:r>
          </w:p>
        </w:tc>
        <w:tc>
          <w:tcPr>
            <w:tcW w:w="668"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台</w:t>
            </w:r>
          </w:p>
        </w:tc>
        <w:tc>
          <w:tcPr>
            <w:tcW w:w="627" w:type="dxa"/>
            <w:vAlign w:val="center"/>
          </w:tcPr>
          <w:p>
            <w:pPr>
              <w:keepNext w:val="0"/>
              <w:keepLines w:val="0"/>
              <w:widowControl/>
              <w:suppressLineNumbers w:val="0"/>
              <w:jc w:val="center"/>
              <w:textAlignment w:val="center"/>
              <w:rPr>
                <w:rFonts w:hint="eastAsia" w:ascii="宋体" w:hAnsi="宋体" w:eastAsia="宋体" w:cs="宋体"/>
                <w:b w:val="0"/>
                <w:bCs w:val="0"/>
                <w:sz w:val="18"/>
                <w:szCs w:val="18"/>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采购标的</w:t>
            </w:r>
            <w:r>
              <w:rPr>
                <w:rFonts w:ascii="宋体"/>
                <w:b/>
                <w:color w:val="000000" w:themeColor="text1"/>
                <w:sz w:val="24"/>
                <w:szCs w:val="24"/>
                <w14:textFill>
                  <w14:solidFill>
                    <w14:schemeClr w14:val="tx1"/>
                  </w14:solidFill>
                </w14:textFill>
              </w:rPr>
              <w:br w:type="textWrapping"/>
            </w:r>
            <w:r>
              <w:rPr>
                <w:rFonts w:hint="eastAsia" w:ascii="宋体" w:hAnsi="宋体"/>
                <w:b/>
                <w:color w:val="000000" w:themeColor="text1"/>
                <w:sz w:val="24"/>
                <w:szCs w:val="24"/>
                <w14:textFill>
                  <w14:solidFill>
                    <w14:schemeClr w14:val="tx1"/>
                  </w14:solidFill>
                </w14:textFill>
              </w:rPr>
              <w:t>需实现的功能或目标</w:t>
            </w:r>
          </w:p>
        </w:tc>
        <w:tc>
          <w:tcPr>
            <w:tcW w:w="7832" w:type="dxa"/>
            <w:gridSpan w:val="3"/>
            <w:vAlign w:val="center"/>
          </w:tcPr>
          <w:p>
            <w:pPr>
              <w:spacing w:line="500" w:lineRule="exact"/>
              <w:jc w:val="center"/>
              <w:rPr>
                <w:rFonts w:hint="eastAsia"/>
                <w:vertAlign w:val="baseline"/>
              </w:rPr>
            </w:pPr>
            <w:r>
              <w:rPr>
                <w:rFonts w:hint="eastAsia" w:ascii="宋体"/>
                <w:b/>
                <w:color w:val="000000" w:themeColor="text1"/>
                <w:sz w:val="24"/>
                <w:szCs w:val="24"/>
                <w14:textFill>
                  <w14:solidFill>
                    <w14:schemeClr w14:val="tx1"/>
                  </w14:solidFill>
                </w14:textFill>
              </w:rPr>
              <w:t>满足采购人的采购需求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lang w:eastAsia="zh-CN"/>
                <w14:textFill>
                  <w14:solidFill>
                    <w14:schemeClr w14:val="tx1"/>
                  </w14:solidFill>
                </w14:textFill>
              </w:rPr>
              <w:t>维保期</w:t>
            </w:r>
            <w:r>
              <w:rPr>
                <w:rFonts w:hint="eastAsia" w:ascii="宋体" w:hAnsi="宋体"/>
                <w:b/>
                <w:color w:val="000000" w:themeColor="text1"/>
                <w:sz w:val="24"/>
                <w:szCs w:val="24"/>
                <w14:textFill>
                  <w14:solidFill>
                    <w14:schemeClr w14:val="tx1"/>
                  </w14:solidFill>
                </w14:textFill>
              </w:rPr>
              <w:t>要求</w:t>
            </w:r>
          </w:p>
        </w:tc>
        <w:tc>
          <w:tcPr>
            <w:tcW w:w="7832" w:type="dxa"/>
            <w:gridSpan w:val="3"/>
            <w:vAlign w:val="center"/>
          </w:tcPr>
          <w:p>
            <w:pPr>
              <w:spacing w:line="500" w:lineRule="exact"/>
              <w:jc w:val="center"/>
              <w:rPr>
                <w:rFonts w:hint="eastAsia"/>
                <w:vertAlign w:val="baseline"/>
              </w:rPr>
            </w:pPr>
            <w:r>
              <w:rPr>
                <w:rFonts w:hint="eastAsia" w:ascii="新宋体" w:hAnsi="新宋体" w:eastAsia="新宋体" w:cs="新宋体"/>
                <w:b/>
                <w:sz w:val="24"/>
                <w:szCs w:val="24"/>
              </w:rPr>
              <w:t>质保期</w:t>
            </w:r>
            <w:r>
              <w:rPr>
                <w:rFonts w:hint="eastAsia" w:ascii="新宋体" w:hAnsi="新宋体" w:eastAsia="新宋体" w:cs="新宋体"/>
                <w:b/>
                <w:sz w:val="24"/>
                <w:szCs w:val="24"/>
                <w:u w:val="single"/>
                <w:lang w:val="en-US" w:eastAsia="zh-CN"/>
              </w:rPr>
              <w:t>三</w:t>
            </w:r>
            <w:r>
              <w:rPr>
                <w:rFonts w:hint="eastAsia" w:ascii="新宋体" w:hAnsi="新宋体" w:eastAsia="新宋体" w:cs="新宋体"/>
                <w:b/>
                <w:sz w:val="24"/>
                <w:szCs w:val="24"/>
                <w:u w:val="single"/>
              </w:rPr>
              <w:t>年</w:t>
            </w:r>
            <w:r>
              <w:rPr>
                <w:rFonts w:hint="eastAsia" w:ascii="新宋体" w:hAnsi="新宋体" w:eastAsia="新宋体" w:cs="新宋体"/>
                <w:b/>
                <w:sz w:val="24"/>
                <w:szCs w:val="24"/>
              </w:rPr>
              <w:t>（自交货验收合格之日起计）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实施或交货时间、地点</w:t>
            </w:r>
          </w:p>
        </w:tc>
        <w:tc>
          <w:tcPr>
            <w:tcW w:w="7832" w:type="dxa"/>
            <w:gridSpan w:val="3"/>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新宋体" w:hAnsi="新宋体" w:eastAsia="新宋体" w:cs="新宋体"/>
                <w:b/>
                <w:sz w:val="24"/>
                <w:szCs w:val="24"/>
              </w:rPr>
            </w:pPr>
            <w:r>
              <w:rPr>
                <w:rFonts w:hint="eastAsia" w:ascii="新宋体" w:hAnsi="新宋体" w:eastAsia="新宋体" w:cs="新宋体"/>
                <w:b/>
                <w:sz w:val="24"/>
                <w:szCs w:val="24"/>
              </w:rPr>
              <w:t>时间：合同签订后</w:t>
            </w:r>
            <w:r>
              <w:rPr>
                <w:rFonts w:hint="eastAsia" w:ascii="新宋体" w:hAnsi="新宋体" w:eastAsia="新宋体" w:cs="新宋体"/>
                <w:b/>
                <w:sz w:val="24"/>
                <w:szCs w:val="24"/>
                <w:lang w:val="en-US" w:eastAsia="zh-CN"/>
              </w:rPr>
              <w:t>20</w:t>
            </w:r>
            <w:r>
              <w:rPr>
                <w:rFonts w:hint="eastAsia" w:ascii="新宋体" w:hAnsi="新宋体" w:eastAsia="新宋体" w:cs="新宋体"/>
                <w:b/>
                <w:sz w:val="24"/>
                <w:szCs w:val="24"/>
              </w:rPr>
              <w:t>日历天内完成全部设备的供货到场，安装、调试、验收合格后交付甲方使用</w:t>
            </w:r>
          </w:p>
          <w:p>
            <w:pPr>
              <w:spacing w:line="500" w:lineRule="exact"/>
              <w:jc w:val="left"/>
              <w:rPr>
                <w:rFonts w:hint="eastAsia"/>
                <w:vertAlign w:val="baseline"/>
              </w:rPr>
            </w:pPr>
            <w:r>
              <w:rPr>
                <w:rFonts w:hint="eastAsia" w:ascii="新宋体" w:hAnsi="新宋体" w:eastAsia="新宋体" w:cs="新宋体"/>
                <w:b/>
                <w:sz w:val="24"/>
                <w:szCs w:val="24"/>
              </w:rPr>
              <w:t>地点：送货到甲方指定地点并安装调试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售后服务要求</w:t>
            </w:r>
          </w:p>
        </w:tc>
        <w:tc>
          <w:tcPr>
            <w:tcW w:w="7832" w:type="dxa"/>
            <w:gridSpan w:val="3"/>
            <w:vAlign w:val="center"/>
          </w:tcPr>
          <w:p>
            <w:pPr>
              <w:spacing w:line="500" w:lineRule="exact"/>
              <w:jc w:val="center"/>
              <w:rPr>
                <w:rFonts w:hint="eastAsia"/>
                <w:vertAlign w:val="baseline"/>
              </w:rPr>
            </w:pPr>
            <w:r>
              <w:rPr>
                <w:rFonts w:hint="eastAsia" w:ascii="宋体"/>
                <w:b/>
                <w:color w:val="000000" w:themeColor="text1"/>
                <w:sz w:val="24"/>
                <w:szCs w:val="24"/>
                <w14:textFill>
                  <w14:solidFill>
                    <w14:schemeClr w14:val="tx1"/>
                  </w14:solidFill>
                </w14:textFill>
              </w:rPr>
              <w:t>按照合同条款执行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验收标准</w:t>
            </w:r>
          </w:p>
        </w:tc>
        <w:tc>
          <w:tcPr>
            <w:tcW w:w="7832" w:type="dxa"/>
            <w:gridSpan w:val="3"/>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vertAlign w:val="baseline"/>
              </w:rPr>
            </w:pPr>
            <w:r>
              <w:rPr>
                <w:rFonts w:hint="eastAsia" w:ascii="新宋体" w:hAnsi="新宋体" w:eastAsia="新宋体" w:cs="新宋体"/>
                <w:b/>
                <w:sz w:val="24"/>
                <w:szCs w:val="24"/>
              </w:rPr>
              <w:t>符合国家及行业标准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备品备件及耗材等要求</w:t>
            </w:r>
          </w:p>
        </w:tc>
        <w:tc>
          <w:tcPr>
            <w:tcW w:w="7832" w:type="dxa"/>
            <w:gridSpan w:val="3"/>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vertAlign w:val="baseline"/>
              </w:rPr>
            </w:pPr>
            <w:r>
              <w:rPr>
                <w:rFonts w:hint="eastAsia" w:ascii="新宋体" w:hAnsi="新宋体" w:eastAsia="新宋体" w:cs="新宋体"/>
                <w:b/>
                <w:sz w:val="24"/>
                <w:szCs w:val="24"/>
              </w:rPr>
              <w:t>符合国家及行业标准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gridSpan w:val="2"/>
            <w:vAlign w:val="center"/>
          </w:tcPr>
          <w:p>
            <w:pPr>
              <w:spacing w:line="5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b/>
                <w:color w:val="000000" w:themeColor="text1"/>
                <w:sz w:val="24"/>
                <w:szCs w:val="24"/>
                <w14:textFill>
                  <w14:solidFill>
                    <w14:schemeClr w14:val="tx1"/>
                  </w14:solidFill>
                </w14:textFill>
              </w:rPr>
              <w:t>付款方式</w:t>
            </w:r>
          </w:p>
        </w:tc>
        <w:tc>
          <w:tcPr>
            <w:tcW w:w="7832" w:type="dxa"/>
            <w:gridSpan w:val="3"/>
            <w:vAlign w:val="center"/>
          </w:tcPr>
          <w:p>
            <w:pPr>
              <w:spacing w:line="500" w:lineRule="exact"/>
              <w:jc w:val="center"/>
              <w:rPr>
                <w:rFonts w:hint="eastAsia"/>
                <w:vertAlign w:val="baseline"/>
              </w:rPr>
            </w:pPr>
            <w:r>
              <w:rPr>
                <w:rFonts w:hint="eastAsia" w:ascii="新宋体" w:hAnsi="新宋体" w:eastAsia="新宋体" w:cs="新宋体"/>
                <w:b/>
                <w:sz w:val="24"/>
                <w:szCs w:val="24"/>
                <w:lang w:val="en-US" w:eastAsia="zh-CN"/>
              </w:rPr>
              <w:t>全部设备</w:t>
            </w:r>
            <w:r>
              <w:rPr>
                <w:rFonts w:hint="eastAsia" w:ascii="新宋体" w:hAnsi="新宋体" w:eastAsia="新宋体" w:cs="新宋体"/>
                <w:b/>
                <w:sz w:val="24"/>
                <w:szCs w:val="24"/>
              </w:rPr>
              <w:t>供货并安装、调试、验收合格交付后，单据齐全，甲方支付合同总价的</w:t>
            </w:r>
            <w:r>
              <w:rPr>
                <w:rFonts w:hint="eastAsia" w:ascii="新宋体" w:hAnsi="新宋体" w:eastAsia="新宋体" w:cs="新宋体"/>
                <w:b/>
                <w:sz w:val="24"/>
                <w:szCs w:val="24"/>
                <w:lang w:val="en-US" w:eastAsia="zh-CN"/>
              </w:rPr>
              <w:t>5</w:t>
            </w:r>
            <w:r>
              <w:rPr>
                <w:rFonts w:hint="eastAsia" w:ascii="新宋体" w:hAnsi="新宋体" w:eastAsia="新宋体" w:cs="新宋体"/>
                <w:b/>
                <w:sz w:val="24"/>
                <w:szCs w:val="24"/>
              </w:rPr>
              <w:t>0%；验收合格交付甲方使用</w:t>
            </w:r>
            <w:r>
              <w:rPr>
                <w:rFonts w:hint="eastAsia" w:ascii="新宋体" w:hAnsi="新宋体" w:eastAsia="新宋体" w:cs="新宋体"/>
                <w:b/>
                <w:sz w:val="24"/>
                <w:szCs w:val="24"/>
                <w:lang w:val="en-US" w:eastAsia="zh-CN"/>
              </w:rPr>
              <w:t>六个月</w:t>
            </w:r>
            <w:r>
              <w:rPr>
                <w:rFonts w:hint="eastAsia" w:ascii="新宋体" w:hAnsi="新宋体" w:eastAsia="新宋体" w:cs="新宋体"/>
                <w:b/>
                <w:sz w:val="24"/>
                <w:szCs w:val="24"/>
              </w:rPr>
              <w:t>后无质量问题支付至合同价的</w:t>
            </w:r>
            <w:r>
              <w:rPr>
                <w:rFonts w:hint="eastAsia" w:ascii="新宋体" w:hAnsi="新宋体" w:eastAsia="新宋体" w:cs="新宋体"/>
                <w:b/>
                <w:sz w:val="24"/>
                <w:szCs w:val="24"/>
                <w:lang w:val="en-US" w:eastAsia="zh-CN"/>
              </w:rPr>
              <w:t>90</w:t>
            </w:r>
            <w:r>
              <w:rPr>
                <w:rFonts w:hint="eastAsia" w:ascii="新宋体" w:hAnsi="新宋体" w:eastAsia="新宋体" w:cs="新宋体"/>
                <w:b/>
                <w:sz w:val="24"/>
                <w:szCs w:val="24"/>
              </w:rPr>
              <w:t>%；余款作为质保金在质保期满后无质量服务问题一次性无息支付。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2" w:type="dxa"/>
            <w:gridSpan w:val="5"/>
            <w:vAlign w:val="center"/>
          </w:tcPr>
          <w:p>
            <w:pPr>
              <w:spacing w:line="500" w:lineRule="exact"/>
              <w:jc w:val="center"/>
              <w:rPr>
                <w:rFonts w:hint="eastAsia" w:ascii="新宋体" w:hAnsi="新宋体" w:eastAsia="新宋体" w:cs="新宋体"/>
                <w:b/>
                <w:sz w:val="24"/>
                <w:szCs w:val="24"/>
                <w:lang w:val="en-US" w:eastAsia="zh-CN"/>
              </w:rPr>
            </w:pPr>
            <w:r>
              <w:rPr>
                <w:rFonts w:hint="eastAsia"/>
              </w:rPr>
              <w:t>注：投标人对招标文件有疑义的必须在答疑截止日期前以书面方式向采购人提出，采购人认为合理的，将以招标文件答疑方式告知所有投标人。如在答疑截止日前未提出疑义的视同完全认同招标文件所有条款。</w:t>
            </w:r>
          </w:p>
        </w:tc>
      </w:tr>
    </w:tbl>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3"/>
        <w:spacing w:line="900" w:lineRule="exact"/>
        <w:jc w:val="center"/>
        <w:rPr>
          <w:rFonts w:ascii="宋体" w:hAnsi="宋体" w:eastAsia="宋体"/>
          <w:b/>
          <w:color w:val="auto"/>
          <w:sz w:val="36"/>
          <w:szCs w:val="36"/>
        </w:rPr>
      </w:pPr>
      <w:r>
        <w:rPr>
          <w:rFonts w:hint="eastAsia" w:ascii="宋体" w:hAnsi="宋体" w:eastAsia="宋体"/>
          <w:b/>
          <w:color w:val="auto"/>
          <w:sz w:val="36"/>
          <w:szCs w:val="36"/>
        </w:rPr>
        <w:t>第五章评标方法与评标标准</w:t>
      </w:r>
    </w:p>
    <w:p>
      <w:pPr>
        <w:rPr>
          <w:color w:val="auto"/>
        </w:rPr>
      </w:pPr>
    </w:p>
    <w:p>
      <w:pPr>
        <w:snapToGrid w:val="0"/>
        <w:spacing w:line="500" w:lineRule="exact"/>
        <w:ind w:firstLine="482" w:firstLineChars="200"/>
        <w:rPr>
          <w:rFonts w:ascii="宋体" w:cs="Courier New"/>
          <w:b/>
          <w:bCs/>
          <w:color w:val="auto"/>
          <w:sz w:val="24"/>
          <w:szCs w:val="24"/>
        </w:rPr>
      </w:pPr>
      <w:r>
        <w:rPr>
          <w:rFonts w:hint="eastAsia" w:ascii="宋体" w:hAnsi="宋体" w:cs="Courier New"/>
          <w:b/>
          <w:bCs/>
          <w:color w:val="auto"/>
          <w:sz w:val="24"/>
          <w:szCs w:val="24"/>
        </w:rPr>
        <w:t>一、评标方法与定标原则</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hint="eastAsia" w:ascii="宋体" w:hAnsi="宋体" w:cs="Arial"/>
          <w:color w:val="000000"/>
          <w:kern w:val="0"/>
          <w:sz w:val="24"/>
          <w:szCs w:val="24"/>
        </w:rPr>
      </w:pPr>
      <w:r>
        <w:rPr>
          <w:rFonts w:hint="eastAsia" w:ascii="宋体" w:hAnsi="宋体" w:cs="Courier New"/>
          <w:bCs/>
          <w:color w:val="000000"/>
          <w:sz w:val="24"/>
          <w:szCs w:val="24"/>
        </w:rPr>
        <w:t>本项目采用</w:t>
      </w:r>
      <w:r>
        <w:rPr>
          <w:rFonts w:hint="eastAsia" w:ascii="宋体" w:hAnsi="宋体" w:cs="Courier New"/>
          <w:bCs/>
          <w:color w:val="000000"/>
          <w:sz w:val="24"/>
          <w:szCs w:val="24"/>
          <w:u w:val="single"/>
        </w:rPr>
        <w:t xml:space="preserve"> 综合评分 </w:t>
      </w:r>
      <w:r>
        <w:rPr>
          <w:rFonts w:hint="eastAsia" w:ascii="宋体" w:hAnsi="宋体" w:cs="Courier New"/>
          <w:bCs/>
          <w:color w:val="000000"/>
          <w:sz w:val="24"/>
          <w:szCs w:val="24"/>
        </w:rPr>
        <w:t>法。</w:t>
      </w:r>
      <w:r>
        <w:rPr>
          <w:rFonts w:hint="eastAsia" w:ascii="宋体" w:hAnsi="宋体" w:cs="Arial"/>
          <w:color w:val="000000"/>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本项目选取1名中标候选人。</w:t>
      </w:r>
    </w:p>
    <w:p>
      <w:pPr>
        <w:pStyle w:val="2"/>
        <w:ind w:firstLine="480"/>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排名第一的中标候选人放弃中标，或因不可抗力提出不能履行合同，或者被查实存在影响中标结果的违法行为等情形，不符合中标条件的，本项目直接重新招标，不确定其他投标人为中标人。</w:t>
      </w:r>
    </w:p>
    <w:p>
      <w:pPr>
        <w:pStyle w:val="7"/>
        <w:spacing w:before="0" w:after="0" w:line="500" w:lineRule="exact"/>
        <w:ind w:firstLine="482" w:firstLineChars="200"/>
        <w:rPr>
          <w:rFonts w:ascii="宋体" w:hAnsi="宋体" w:eastAsia="宋体"/>
          <w:color w:val="auto"/>
          <w:sz w:val="24"/>
          <w:szCs w:val="24"/>
        </w:rPr>
      </w:pPr>
      <w:r>
        <w:rPr>
          <w:rFonts w:hint="eastAsia" w:ascii="宋体" w:hAnsi="宋体" w:eastAsia="宋体"/>
          <w:color w:val="auto"/>
          <w:sz w:val="24"/>
          <w:szCs w:val="24"/>
        </w:rPr>
        <w:t>二、对投标文件的初审</w:t>
      </w:r>
    </w:p>
    <w:p>
      <w:pPr>
        <w:spacing w:line="500" w:lineRule="exact"/>
        <w:ind w:firstLine="480" w:firstLineChars="200"/>
        <w:rPr>
          <w:rFonts w:ascii="宋体"/>
          <w:bCs/>
          <w:color w:val="auto"/>
          <w:sz w:val="24"/>
          <w:szCs w:val="24"/>
        </w:rPr>
      </w:pPr>
      <w:r>
        <w:rPr>
          <w:rFonts w:hint="eastAsia" w:ascii="宋体" w:hAnsi="宋体"/>
          <w:bCs/>
          <w:color w:val="auto"/>
          <w:sz w:val="24"/>
          <w:szCs w:val="24"/>
        </w:rPr>
        <w:t>投标文件初审分为资格审查和符合性审查。</w:t>
      </w:r>
    </w:p>
    <w:p>
      <w:pPr>
        <w:spacing w:line="500" w:lineRule="exact"/>
        <w:ind w:firstLine="482" w:firstLineChars="200"/>
        <w:rPr>
          <w:rFonts w:ascii="宋体"/>
          <w:b/>
          <w:bCs/>
          <w:color w:val="auto"/>
          <w:sz w:val="24"/>
          <w:szCs w:val="24"/>
        </w:rPr>
      </w:pPr>
      <w:r>
        <w:rPr>
          <w:rFonts w:hint="eastAsia" w:ascii="宋体" w:hAnsi="宋体"/>
          <w:b/>
          <w:bCs/>
          <w:color w:val="auto"/>
          <w:sz w:val="24"/>
          <w:szCs w:val="24"/>
        </w:rPr>
        <w:t>资格审查</w:t>
      </w:r>
    </w:p>
    <w:p>
      <w:pPr>
        <w:spacing w:line="500" w:lineRule="exact"/>
        <w:ind w:firstLine="482" w:firstLineChars="200"/>
        <w:rPr>
          <w:rFonts w:ascii="宋体"/>
          <w:b/>
          <w:bCs/>
          <w:color w:val="auto"/>
          <w:sz w:val="24"/>
          <w:szCs w:val="24"/>
        </w:rPr>
      </w:pPr>
      <w:r>
        <w:rPr>
          <w:rFonts w:hint="eastAsia" w:ascii="宋体" w:hAnsi="宋体"/>
          <w:b/>
          <w:bCs/>
          <w:color w:val="auto"/>
          <w:sz w:val="24"/>
          <w:szCs w:val="24"/>
        </w:rPr>
        <w:t>开标结束后，采购人或者采购代理机构依法对投标人的资格进行审查。</w:t>
      </w:r>
    </w:p>
    <w:p>
      <w:pPr>
        <w:spacing w:line="500" w:lineRule="exact"/>
        <w:ind w:firstLine="480" w:firstLineChars="200"/>
        <w:rPr>
          <w:rFonts w:hint="eastAsia" w:ascii="宋体" w:hAnsi="宋体"/>
          <w:bCs/>
          <w:color w:val="000000"/>
          <w:sz w:val="24"/>
          <w:szCs w:val="24"/>
        </w:rPr>
      </w:pPr>
      <w:r>
        <w:rPr>
          <w:rFonts w:hint="eastAsia" w:ascii="宋体" w:hAnsi="宋体"/>
          <w:bCs/>
          <w:color w:val="000000"/>
          <w:sz w:val="24"/>
          <w:szCs w:val="24"/>
        </w:rPr>
        <w:t>审查投标文件中的资格、资信证明文件等，以确定投标人是否具备投标资格。（资格审查需提供的材料详见《资格信誉等证明文件要求》）</w:t>
      </w:r>
    </w:p>
    <w:p>
      <w:pPr>
        <w:spacing w:line="500" w:lineRule="exact"/>
        <w:ind w:firstLine="482" w:firstLineChars="200"/>
        <w:rPr>
          <w:rFonts w:ascii="宋体"/>
          <w:b/>
          <w:bCs/>
          <w:color w:val="auto"/>
          <w:sz w:val="24"/>
          <w:szCs w:val="24"/>
        </w:rPr>
      </w:pPr>
      <w:r>
        <w:rPr>
          <w:rFonts w:hint="eastAsia" w:ascii="宋体" w:hAnsi="宋体"/>
          <w:b/>
          <w:bCs/>
          <w:color w:val="auto"/>
          <w:sz w:val="24"/>
          <w:szCs w:val="24"/>
        </w:rPr>
        <w:t>符合性审查</w:t>
      </w:r>
    </w:p>
    <w:p>
      <w:pPr>
        <w:spacing w:line="500" w:lineRule="exact"/>
        <w:ind w:firstLine="482" w:firstLineChars="200"/>
        <w:rPr>
          <w:rFonts w:ascii="宋体"/>
          <w:b/>
          <w:bCs/>
          <w:color w:val="auto"/>
          <w:sz w:val="24"/>
          <w:szCs w:val="24"/>
        </w:rPr>
      </w:pPr>
      <w:r>
        <w:rPr>
          <w:rFonts w:hint="eastAsia" w:ascii="宋体" w:hAnsi="宋体"/>
          <w:b/>
          <w:bCs/>
          <w:color w:val="auto"/>
          <w:sz w:val="24"/>
          <w:szCs w:val="24"/>
        </w:rPr>
        <w:t>评标委员会对符合资格的投标人的投标文件进行符合性审查。</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sz w:val="24"/>
          <w:szCs w:val="24"/>
        </w:rPr>
      </w:pPr>
      <w:r>
        <w:rPr>
          <w:rFonts w:hint="eastAsia" w:ascii="宋体" w:hAnsi="宋体"/>
          <w:color w:val="000000"/>
          <w:sz w:val="24"/>
          <w:szCs w:val="24"/>
        </w:rPr>
        <w:t>明确响应的投标应该是与招标文件要求的全部条款、条件和规格相符，没有重大偏离或保留的投标。</w:t>
      </w:r>
    </w:p>
    <w:p>
      <w:pPr>
        <w:spacing w:line="500" w:lineRule="exact"/>
        <w:ind w:firstLine="480" w:firstLineChars="200"/>
        <w:rPr>
          <w:rFonts w:ascii="宋体"/>
          <w:bCs/>
          <w:color w:val="000000"/>
          <w:sz w:val="24"/>
          <w:szCs w:val="24"/>
        </w:rPr>
      </w:pPr>
      <w:r>
        <w:rPr>
          <w:rFonts w:hint="eastAsia"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sz w:val="24"/>
          <w:szCs w:val="24"/>
        </w:rPr>
        <w:t>评委决定投标文件的响应性只根据投标文件本身的内容，而不寻求外部的证据。</w:t>
      </w:r>
    </w:p>
    <w:p>
      <w:pPr>
        <w:spacing w:line="500" w:lineRule="exact"/>
        <w:ind w:firstLine="480" w:firstLineChars="200"/>
        <w:rPr>
          <w:rFonts w:ascii="宋体"/>
          <w:bCs/>
          <w:color w:val="000000"/>
          <w:sz w:val="24"/>
          <w:szCs w:val="24"/>
        </w:rPr>
      </w:pPr>
      <w:r>
        <w:rPr>
          <w:rFonts w:hint="eastAsia" w:ascii="宋体" w:hAnsi="宋体"/>
          <w:bCs/>
          <w:color w:val="000000"/>
          <w:sz w:val="24"/>
          <w:szCs w:val="24"/>
        </w:rPr>
        <w:t>如果投标文件没有明确响应招标文件的要求，评标委员会将按无效投标处理，投标人不得通过修改或撤销不合要求的偏离或保留而使其投标成为明确响应的投标。</w:t>
      </w:r>
    </w:p>
    <w:p>
      <w:pPr>
        <w:spacing w:line="360" w:lineRule="auto"/>
        <w:ind w:firstLine="480" w:firstLineChars="200"/>
        <w:rPr>
          <w:rFonts w:ascii="宋体"/>
          <w:bCs/>
          <w:color w:val="000000"/>
          <w:sz w:val="24"/>
          <w:szCs w:val="24"/>
        </w:rPr>
      </w:pPr>
      <w:r>
        <w:rPr>
          <w:rFonts w:hint="eastAsia" w:ascii="宋体" w:hAnsi="宋体"/>
          <w:bCs/>
          <w:color w:val="000000"/>
          <w:sz w:val="24"/>
          <w:szCs w:val="24"/>
        </w:rPr>
        <w:t>评标委员会将对确定为明确响应的投标进行进一步审核，</w:t>
      </w:r>
      <w:r>
        <w:rPr>
          <w:rFonts w:hint="eastAsia" w:ascii="宋体" w:hAnsi="宋体" w:cs="Arial"/>
          <w:color w:val="000000"/>
          <w:kern w:val="0"/>
          <w:sz w:val="24"/>
          <w:szCs w:val="24"/>
        </w:rPr>
        <w:t>投标文件报价出现前后不一致的，除招标文件另有规定外，按照下列规定修正：</w:t>
      </w:r>
    </w:p>
    <w:p>
      <w:pPr>
        <w:spacing w:line="360" w:lineRule="auto"/>
        <w:ind w:firstLine="480" w:firstLineChars="200"/>
        <w:rPr>
          <w:rFonts w:ascii="宋体"/>
          <w:bCs/>
          <w:color w:val="000000"/>
          <w:sz w:val="24"/>
          <w:szCs w:val="24"/>
        </w:rPr>
      </w:pPr>
      <w:r>
        <w:rPr>
          <w:rFonts w:ascii="宋体" w:hAnsi="宋体"/>
          <w:bCs/>
          <w:color w:val="000000"/>
          <w:sz w:val="24"/>
          <w:szCs w:val="24"/>
        </w:rPr>
        <w:t>1.</w:t>
      </w:r>
      <w:r>
        <w:rPr>
          <w:rFonts w:hint="eastAsia" w:ascii="宋体" w:hAnsi="宋体" w:cs="Arial"/>
          <w:color w:val="000000"/>
          <w:kern w:val="0"/>
          <w:sz w:val="24"/>
          <w:szCs w:val="24"/>
        </w:rPr>
        <w:t>投标文件中开标一览表内容与投标文件中相应内容不一致的，以开标一览表为准；</w:t>
      </w:r>
    </w:p>
    <w:p>
      <w:pPr>
        <w:widowControl/>
        <w:spacing w:before="100" w:beforeAutospacing="1" w:after="240" w:line="360" w:lineRule="auto"/>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2.</w:t>
      </w:r>
      <w:r>
        <w:rPr>
          <w:rFonts w:hint="eastAsia" w:ascii="宋体" w:hAnsi="宋体" w:cs="Arial"/>
          <w:color w:val="000000"/>
          <w:kern w:val="0"/>
          <w:sz w:val="24"/>
          <w:szCs w:val="24"/>
        </w:rPr>
        <w:t>大写金额和小写金额不一致的，以大写金额为准；</w:t>
      </w:r>
    </w:p>
    <w:p>
      <w:pPr>
        <w:widowControl/>
        <w:spacing w:before="100" w:beforeAutospacing="1" w:after="240" w:line="360" w:lineRule="auto"/>
        <w:contextualSpacing/>
        <w:jc w:val="left"/>
        <w:rPr>
          <w:rFonts w:ascii="宋体" w:cs="Arial"/>
          <w:color w:val="000000"/>
          <w:kern w:val="0"/>
          <w:sz w:val="24"/>
          <w:szCs w:val="24"/>
        </w:rPr>
      </w:pPr>
      <w:r>
        <w:rPr>
          <w:rFonts w:hint="eastAsia" w:ascii="宋体" w:hAnsi="宋体" w:cs="Arial"/>
          <w:color w:val="000000"/>
          <w:kern w:val="0"/>
          <w:sz w:val="24"/>
          <w:szCs w:val="24"/>
        </w:rPr>
        <w:t>　　</w:t>
      </w:r>
      <w:r>
        <w:rPr>
          <w:rFonts w:ascii="宋体" w:hAnsi="宋体"/>
          <w:bCs/>
          <w:color w:val="000000"/>
          <w:sz w:val="24"/>
          <w:szCs w:val="24"/>
        </w:rPr>
        <w:t>3.</w:t>
      </w:r>
      <w:r>
        <w:rPr>
          <w:rFonts w:hint="eastAsia" w:ascii="宋体" w:hAnsi="宋体" w:cs="Arial"/>
          <w:color w:val="000000"/>
          <w:kern w:val="0"/>
          <w:sz w:val="24"/>
          <w:szCs w:val="24"/>
        </w:rPr>
        <w:t>单价金额小数点或者百分比有明显错位的，以开标一览表的总价为准，并修改单价；</w:t>
      </w:r>
    </w:p>
    <w:p>
      <w:pPr>
        <w:widowControl/>
        <w:spacing w:before="100" w:beforeAutospacing="1" w:after="240" w:line="360" w:lineRule="auto"/>
        <w:contextualSpacing/>
        <w:jc w:val="left"/>
        <w:rPr>
          <w:rFonts w:ascii="宋体" w:cs="Arial"/>
          <w:kern w:val="0"/>
          <w:sz w:val="24"/>
          <w:szCs w:val="24"/>
        </w:rPr>
      </w:pPr>
      <w:r>
        <w:rPr>
          <w:rFonts w:hint="eastAsia" w:ascii="宋体" w:hAnsi="宋体" w:cs="Arial"/>
          <w:color w:val="000000"/>
          <w:kern w:val="0"/>
          <w:sz w:val="24"/>
          <w:szCs w:val="24"/>
        </w:rPr>
        <w:t>　</w:t>
      </w:r>
      <w:r>
        <w:rPr>
          <w:rFonts w:hint="eastAsia" w:ascii="宋体" w:hAnsi="宋体" w:cs="Arial"/>
          <w:kern w:val="0"/>
          <w:sz w:val="24"/>
          <w:szCs w:val="24"/>
        </w:rPr>
        <w:t>　</w:t>
      </w:r>
      <w:r>
        <w:rPr>
          <w:rFonts w:ascii="宋体" w:hAnsi="宋体"/>
          <w:bCs/>
          <w:sz w:val="24"/>
          <w:szCs w:val="24"/>
        </w:rPr>
        <w:t>4.</w:t>
      </w:r>
      <w:r>
        <w:rPr>
          <w:rFonts w:hint="eastAsia" w:ascii="宋体" w:hAnsi="宋体" w:cs="Arial"/>
          <w:kern w:val="0"/>
          <w:sz w:val="24"/>
          <w:szCs w:val="24"/>
        </w:rPr>
        <w:t>总价金额与按单价汇总金额不一致的，以单价金额计算结果为准。</w:t>
      </w:r>
    </w:p>
    <w:p>
      <w:pPr>
        <w:spacing w:line="360" w:lineRule="auto"/>
        <w:ind w:firstLine="480" w:firstLineChars="200"/>
        <w:rPr>
          <w:rFonts w:ascii="宋体" w:hAnsi="宋体" w:cs="Arial"/>
          <w:kern w:val="0"/>
          <w:sz w:val="24"/>
          <w:szCs w:val="24"/>
        </w:rPr>
      </w:pPr>
      <w:r>
        <w:rPr>
          <w:rFonts w:hint="eastAsia" w:ascii="宋体" w:hAnsi="宋体"/>
          <w:bCs/>
          <w:sz w:val="24"/>
          <w:szCs w:val="24"/>
        </w:rPr>
        <w:t>评标委员会将按上述修正错误的方法调整投标文件中的投标报价，</w:t>
      </w:r>
      <w:r>
        <w:rPr>
          <w:rFonts w:hint="eastAsia" w:ascii="宋体" w:hAnsi="宋体" w:cs="Arial"/>
          <w:kern w:val="0"/>
          <w:sz w:val="24"/>
          <w:szCs w:val="24"/>
        </w:rPr>
        <w:t>修正后的报价应当采用书面形式，并加盖公章，或者由法定代表人或其授权的代表签字，经投标人确认后产生约束力，投标人不确认的，其投标无效。</w:t>
      </w:r>
    </w:p>
    <w:p>
      <w:pPr>
        <w:spacing w:line="360" w:lineRule="auto"/>
        <w:ind w:firstLine="480" w:firstLineChars="200"/>
        <w:rPr>
          <w:rFonts w:ascii="宋体" w:cs="Arial"/>
          <w:color w:val="000000"/>
          <w:kern w:val="0"/>
          <w:sz w:val="24"/>
          <w:szCs w:val="24"/>
        </w:rPr>
      </w:pPr>
      <w:r>
        <w:rPr>
          <w:rFonts w:hint="eastAsia" w:ascii="宋体" w:hAnsi="宋体" w:cs="Arial"/>
          <w:kern w:val="0"/>
          <w:sz w:val="24"/>
          <w:szCs w:val="24"/>
        </w:rPr>
        <w:t>评标委员会认为投标人的报价明显低于其他通过符合性审查投标人的报价，有可能影响产品质量或者不能诚</w:t>
      </w:r>
      <w:r>
        <w:rPr>
          <w:rFonts w:hint="eastAsia" w:ascii="宋体" w:hAnsi="宋体" w:cs="Arial"/>
          <w:color w:val="000000"/>
          <w:kern w:val="0"/>
          <w:sz w:val="24"/>
          <w:szCs w:val="24"/>
        </w:rPr>
        <w:t>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s="Arial"/>
          <w:color w:val="000000"/>
          <w:kern w:val="0"/>
          <w:sz w:val="24"/>
          <w:szCs w:val="24"/>
        </w:rPr>
      </w:pPr>
      <w:r>
        <w:rPr>
          <w:rFonts w:hint="eastAsia" w:ascii="宋体" w:hAnsi="宋体" w:cs="Arial"/>
          <w:color w:val="000000"/>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cs="Arial"/>
          <w:color w:val="auto"/>
          <w:kern w:val="0"/>
          <w:sz w:val="24"/>
          <w:szCs w:val="24"/>
        </w:rPr>
      </w:pPr>
      <w:r>
        <w:rPr>
          <w:rFonts w:hint="eastAsia" w:ascii="宋体" w:hAnsi="宋体" w:cs="Arial"/>
          <w:color w:val="000000"/>
          <w:kern w:val="0"/>
          <w:sz w:val="24"/>
          <w:szCs w:val="24"/>
        </w:rPr>
        <w:t>非单一产品采购，采购人根据采购项目技术构成、产品价格比重等合理确定核心产品，并在招标文件中载明。多家投标人提供的核心产品品牌相同的按上述规定处理。</w:t>
      </w:r>
    </w:p>
    <w:p>
      <w:pPr>
        <w:snapToGrid w:val="0"/>
        <w:spacing w:line="360" w:lineRule="auto"/>
        <w:ind w:firstLine="482" w:firstLineChars="200"/>
        <w:rPr>
          <w:rFonts w:ascii="宋体" w:hAnsi="宋体" w:cs="Courier New"/>
          <w:b/>
          <w:bCs/>
          <w:color w:val="auto"/>
          <w:sz w:val="24"/>
          <w:szCs w:val="24"/>
        </w:rPr>
      </w:pPr>
      <w:r>
        <w:rPr>
          <w:rFonts w:hint="eastAsia" w:ascii="宋体" w:hAnsi="宋体" w:cs="Courier New"/>
          <w:b/>
          <w:bCs/>
          <w:color w:val="auto"/>
          <w:sz w:val="24"/>
          <w:szCs w:val="24"/>
        </w:rPr>
        <w:t>三、评分标准</w:t>
      </w:r>
    </w:p>
    <w:p>
      <w:pPr>
        <w:numPr>
          <w:ilvl w:val="0"/>
          <w:numId w:val="0"/>
        </w:numPr>
        <w:snapToGrid w:val="0"/>
        <w:spacing w:line="360" w:lineRule="auto"/>
        <w:ind w:firstLine="482" w:firstLineChars="200"/>
        <w:rPr>
          <w:rFonts w:hint="eastAsia" w:ascii="宋体" w:hAnsi="宋体" w:cs="Courier New"/>
          <w:b/>
          <w:bCs/>
          <w:color w:val="FF0000"/>
          <w:sz w:val="24"/>
          <w:szCs w:val="24"/>
        </w:rPr>
      </w:pPr>
      <w:r>
        <w:rPr>
          <w:rFonts w:hint="eastAsia" w:ascii="宋体" w:hAnsi="宋体" w:cs="Courier New"/>
          <w:b/>
          <w:bCs/>
          <w:color w:val="FF0000"/>
          <w:sz w:val="24"/>
          <w:szCs w:val="24"/>
          <w:lang w:eastAsia="zh-CN"/>
        </w:rPr>
        <w:t>（</w:t>
      </w:r>
      <w:r>
        <w:rPr>
          <w:rFonts w:hint="eastAsia" w:ascii="宋体" w:hAnsi="宋体" w:cs="Courier New"/>
          <w:b/>
          <w:bCs/>
          <w:color w:val="FF0000"/>
          <w:sz w:val="24"/>
          <w:szCs w:val="24"/>
          <w:lang w:val="en-US" w:eastAsia="zh-CN"/>
        </w:rPr>
        <w:t>1）</w:t>
      </w:r>
      <w:r>
        <w:rPr>
          <w:rFonts w:hint="eastAsia" w:ascii="宋体" w:hAnsi="宋体" w:cs="Courier New"/>
          <w:b/>
          <w:bCs/>
          <w:color w:val="FF0000"/>
          <w:sz w:val="24"/>
          <w:szCs w:val="24"/>
        </w:rPr>
        <w:t>政府采购政策功能落实</w:t>
      </w:r>
    </w:p>
    <w:p>
      <w:pPr>
        <w:pStyle w:val="79"/>
        <w:spacing w:line="0" w:lineRule="atLeast"/>
        <w:ind w:firstLineChars="200"/>
        <w:rPr>
          <w:rFonts w:hint="eastAsia" w:ascii="宋体" w:hAnsi="宋体"/>
          <w:kern w:val="2"/>
        </w:rPr>
      </w:pPr>
      <w:r>
        <w:rPr>
          <w:rFonts w:hint="eastAsia" w:ascii="宋体" w:hAnsi="宋体"/>
          <w:kern w:val="2"/>
        </w:rPr>
        <w:t>1、小微型企业价格扣除</w:t>
      </w:r>
    </w:p>
    <w:p>
      <w:pPr>
        <w:pStyle w:val="79"/>
        <w:spacing w:line="0" w:lineRule="atLeast"/>
        <w:ind w:firstLine="360" w:firstLineChars="150"/>
        <w:rPr>
          <w:rFonts w:hint="eastAsia" w:ascii="宋体" w:hAnsi="宋体"/>
          <w:kern w:val="2"/>
        </w:rPr>
      </w:pPr>
      <w:r>
        <w:rPr>
          <w:rFonts w:hint="eastAsia" w:ascii="宋体" w:hAnsi="宋体"/>
          <w:kern w:val="2"/>
        </w:rPr>
        <w:t>（1）本项目对小型和微型企业产品给予10%的扣除价格，用扣除后的价格参与评审。</w:t>
      </w:r>
    </w:p>
    <w:p>
      <w:pPr>
        <w:pStyle w:val="79"/>
        <w:spacing w:line="0" w:lineRule="atLeast"/>
        <w:ind w:firstLine="360" w:firstLineChars="150"/>
        <w:rPr>
          <w:rFonts w:hint="eastAsia" w:ascii="宋体" w:hAnsi="宋体"/>
          <w:kern w:val="2"/>
        </w:rPr>
      </w:pPr>
      <w:r>
        <w:rPr>
          <w:rFonts w:hint="eastAsia" w:ascii="宋体" w:hAnsi="宋体"/>
          <w:kern w:val="2"/>
        </w:rPr>
        <w:t>（2）供应商需按照采购文件的要求提供相应的《企业声明函》。</w:t>
      </w:r>
    </w:p>
    <w:p>
      <w:pPr>
        <w:pStyle w:val="79"/>
        <w:spacing w:line="0" w:lineRule="atLeast"/>
        <w:ind w:firstLine="360" w:firstLineChars="150"/>
        <w:rPr>
          <w:rFonts w:hint="eastAsia" w:ascii="宋体" w:hAnsi="宋体"/>
          <w:kern w:val="2"/>
          <w:lang w:eastAsia="zh-CN"/>
        </w:rPr>
      </w:pPr>
      <w:r>
        <w:rPr>
          <w:rFonts w:hint="eastAsia" w:ascii="宋体" w:hAnsi="宋体"/>
          <w:kern w:val="2"/>
        </w:rPr>
        <w:t>（3）企业标准请参照《关于印发中小企业划型标准规定的通知》（工信部联企业[2011]300号）文件规定自行填写。</w:t>
      </w:r>
    </w:p>
    <w:p>
      <w:pPr>
        <w:pStyle w:val="79"/>
        <w:spacing w:line="0" w:lineRule="atLeast"/>
        <w:ind w:firstLine="360" w:firstLineChars="150"/>
        <w:rPr>
          <w:rFonts w:hint="eastAsia" w:ascii="宋体" w:hAnsi="宋体"/>
          <w:kern w:val="2"/>
          <w:lang w:eastAsia="zh-CN"/>
        </w:rPr>
      </w:pPr>
      <w:r>
        <w:rPr>
          <w:rFonts w:hint="eastAsia" w:ascii="宋体" w:hAnsi="宋体"/>
          <w:kern w:val="2"/>
          <w:lang w:eastAsia="zh-CN"/>
        </w:rPr>
        <w:t>（4）在货物采购项目中，供应商提供的货物既有中小企业制造货物，也有大型企业制造货物的，不享受本办法规定的中小企业扶持政策。</w:t>
      </w:r>
    </w:p>
    <w:p>
      <w:pPr>
        <w:pStyle w:val="79"/>
        <w:spacing w:line="0" w:lineRule="atLeast"/>
        <w:ind w:firstLineChars="200"/>
        <w:rPr>
          <w:rFonts w:hint="eastAsia" w:ascii="宋体" w:hAnsi="宋体"/>
          <w:kern w:val="2"/>
        </w:rPr>
      </w:pPr>
      <w:r>
        <w:rPr>
          <w:rFonts w:hint="eastAsia" w:ascii="宋体" w:hAnsi="宋体"/>
          <w:kern w:val="2"/>
        </w:rPr>
        <w:t>2、残疾人福利单位价格扣除</w:t>
      </w:r>
    </w:p>
    <w:p>
      <w:pPr>
        <w:pStyle w:val="79"/>
        <w:spacing w:line="0" w:lineRule="atLeast"/>
        <w:ind w:left="120" w:leftChars="57" w:firstLine="360" w:firstLineChars="150"/>
        <w:rPr>
          <w:rFonts w:hint="eastAsia" w:ascii="宋体" w:hAnsi="宋体"/>
          <w:kern w:val="2"/>
        </w:rPr>
      </w:pPr>
      <w:r>
        <w:rPr>
          <w:rFonts w:hint="eastAsia" w:ascii="宋体" w:hAnsi="宋体"/>
          <w:kern w:val="2"/>
        </w:rPr>
        <w:t>（1）本项目对残疾人福利性单位视同小型、微型企业，给予10%的价格扣除，用扣除后的价格参与评审。</w:t>
      </w:r>
    </w:p>
    <w:p>
      <w:pPr>
        <w:pStyle w:val="79"/>
        <w:spacing w:line="0" w:lineRule="atLeast"/>
        <w:ind w:left="120" w:leftChars="57" w:firstLine="360" w:firstLineChars="150"/>
        <w:rPr>
          <w:rFonts w:hint="eastAsia" w:ascii="宋体" w:hAnsi="宋体"/>
          <w:kern w:val="2"/>
        </w:rPr>
      </w:pPr>
      <w:r>
        <w:rPr>
          <w:rFonts w:hint="eastAsia" w:ascii="宋体" w:hAnsi="宋体"/>
          <w:kern w:val="2"/>
        </w:rPr>
        <w:t>（2）残疾人福利单位标准请参照《关于促进残疾人就业政府采购政策的通知》（财库〔2017〕141号）</w:t>
      </w:r>
      <w:r>
        <w:rPr>
          <w:rFonts w:hint="eastAsia" w:ascii="宋体" w:hAnsi="宋体"/>
          <w:kern w:val="2"/>
          <w:lang w:eastAsia="zh-CN"/>
        </w:rPr>
        <w:t>，</w:t>
      </w:r>
      <w:r>
        <w:rPr>
          <w:rFonts w:hint="eastAsia" w:ascii="宋体" w:hAnsi="宋体"/>
          <w:kern w:val="2"/>
          <w:lang w:val="en-US" w:eastAsia="zh-CN"/>
        </w:rPr>
        <w:t>需</w:t>
      </w:r>
      <w:r>
        <w:rPr>
          <w:rFonts w:hint="eastAsia" w:ascii="宋体" w:hAnsi="宋体"/>
          <w:kern w:val="2"/>
        </w:rPr>
        <w:t>提供《残疾人福利性单位声明函》</w:t>
      </w:r>
      <w:r>
        <w:rPr>
          <w:rFonts w:hint="eastAsia" w:ascii="宋体" w:hAnsi="宋体"/>
          <w:kern w:val="2"/>
          <w:lang w:eastAsia="zh-CN"/>
        </w:rPr>
        <w:t>，</w:t>
      </w:r>
      <w:r>
        <w:rPr>
          <w:rFonts w:hint="eastAsia" w:ascii="宋体" w:hAnsi="宋体"/>
          <w:kern w:val="2"/>
          <w:lang w:val="en-US" w:eastAsia="zh-CN"/>
        </w:rPr>
        <w:t>格式自拟</w:t>
      </w:r>
      <w:r>
        <w:rPr>
          <w:rFonts w:hint="eastAsia" w:ascii="宋体" w:hAnsi="宋体"/>
          <w:kern w:val="2"/>
        </w:rPr>
        <w:t>。</w:t>
      </w:r>
    </w:p>
    <w:p>
      <w:pPr>
        <w:pStyle w:val="79"/>
        <w:spacing w:line="0" w:lineRule="atLeast"/>
        <w:ind w:firstLineChars="200"/>
        <w:rPr>
          <w:rFonts w:hint="eastAsia" w:ascii="宋体" w:hAnsi="宋体"/>
          <w:kern w:val="2"/>
        </w:rPr>
      </w:pPr>
      <w:r>
        <w:rPr>
          <w:rFonts w:hint="eastAsia" w:ascii="宋体" w:hAnsi="宋体"/>
          <w:kern w:val="2"/>
        </w:rPr>
        <w:t>3、监狱和戒毒企业价格扣除</w:t>
      </w:r>
    </w:p>
    <w:p>
      <w:pPr>
        <w:pStyle w:val="79"/>
        <w:spacing w:line="0" w:lineRule="atLeast"/>
        <w:ind w:firstLineChars="200"/>
        <w:rPr>
          <w:rFonts w:hint="eastAsia" w:ascii="宋体" w:hAnsi="宋体"/>
          <w:kern w:val="2"/>
        </w:rPr>
      </w:pPr>
      <w:r>
        <w:rPr>
          <w:rFonts w:hint="eastAsia" w:ascii="宋体" w:hAnsi="宋体"/>
          <w:kern w:val="2"/>
        </w:rPr>
        <w:t>（1）本项目对监狱和戒毒企业（简称监狱企业）视同小型、微型企业，给予10%的价格扣除，用扣除后的价格参与评审。</w:t>
      </w:r>
    </w:p>
    <w:p>
      <w:pPr>
        <w:pStyle w:val="79"/>
        <w:spacing w:line="0" w:lineRule="atLeast"/>
        <w:ind w:firstLineChars="200"/>
        <w:rPr>
          <w:rFonts w:hint="eastAsia" w:ascii="宋体" w:hAnsi="宋体"/>
          <w:kern w:val="2"/>
        </w:rPr>
      </w:pPr>
      <w:r>
        <w:rPr>
          <w:rFonts w:hint="eastAsia" w:ascii="宋体" w:hAnsi="宋体"/>
          <w:kern w:val="2"/>
        </w:rPr>
        <w:t>（2）监狱企业参加政府采购活动时，需提供由省级以上监狱管理局、戒毒管理局(含新疆生产建设兵团)出具的属于监狱企业的证明文件。</w:t>
      </w:r>
      <w:r>
        <w:rPr>
          <w:rFonts w:hint="eastAsia" w:ascii="宋体" w:hAnsi="宋体"/>
        </w:rPr>
        <w:t>供应商如不提供上述证明文件，价格将不做相应扣除</w:t>
      </w:r>
      <w:r>
        <w:rPr>
          <w:rFonts w:hint="eastAsia" w:ascii="宋体" w:hAnsi="宋体"/>
          <w:kern w:val="2"/>
        </w:rPr>
        <w:t>。</w:t>
      </w:r>
    </w:p>
    <w:p>
      <w:pPr>
        <w:pStyle w:val="79"/>
        <w:spacing w:line="0" w:lineRule="atLeast"/>
        <w:ind w:firstLineChars="200"/>
        <w:rPr>
          <w:rFonts w:hint="eastAsia" w:ascii="宋体" w:hAnsi="宋体"/>
          <w:kern w:val="2"/>
        </w:rPr>
      </w:pPr>
      <w:r>
        <w:rPr>
          <w:rFonts w:hint="eastAsia" w:ascii="宋体" w:hAnsi="宋体"/>
          <w:kern w:val="2"/>
        </w:rPr>
        <w:t>（3）监狱企业标准请参照《关于政府采购支持监狱企业发展有关问题的通知》（</w:t>
      </w:r>
      <w:r>
        <w:rPr>
          <w:rFonts w:ascii="宋体" w:hAnsi="宋体"/>
          <w:kern w:val="2"/>
        </w:rPr>
        <w:t>财库[2014]68号</w:t>
      </w:r>
      <w:r>
        <w:rPr>
          <w:rFonts w:hint="eastAsia" w:ascii="宋体" w:hAnsi="宋体"/>
          <w:kern w:val="2"/>
        </w:rPr>
        <w:t>）。</w:t>
      </w:r>
    </w:p>
    <w:p>
      <w:pPr>
        <w:pStyle w:val="79"/>
        <w:spacing w:line="400" w:lineRule="exact"/>
        <w:ind w:firstLineChars="200"/>
        <w:rPr>
          <w:rFonts w:hint="eastAsia" w:ascii="宋体" w:hAnsi="宋体"/>
          <w:kern w:val="2"/>
          <w:lang w:eastAsia="zh-CN"/>
        </w:rPr>
      </w:pPr>
      <w:r>
        <w:rPr>
          <w:rFonts w:hint="eastAsia" w:ascii="宋体" w:hAnsi="宋体"/>
          <w:kern w:val="2"/>
        </w:rPr>
        <w:t>4、残疾人福利单位、监狱企业属于小型、微型企业的，不重复享受政策。</w:t>
      </w:r>
    </w:p>
    <w:p>
      <w:pPr>
        <w:spacing w:line="360" w:lineRule="auto"/>
        <w:ind w:firstLine="480" w:firstLineChars="200"/>
        <w:rPr>
          <w:rFonts w:ascii="宋体" w:hAnsi="宋体"/>
          <w:sz w:val="24"/>
          <w:szCs w:val="24"/>
        </w:rPr>
      </w:pPr>
      <w:r>
        <w:rPr>
          <w:rFonts w:hint="eastAsia" w:ascii="宋体" w:hAnsi="宋体"/>
          <w:sz w:val="24"/>
          <w:szCs w:val="24"/>
        </w:rPr>
        <w:t>5、★符合本采购文件优先采购 “环境标志产品”或“节能产品”的；必须提供“环境标志产品”或“节能产品”证明，否则不予认可。</w:t>
      </w:r>
    </w:p>
    <w:p>
      <w:pPr>
        <w:pStyle w:val="79"/>
        <w:spacing w:line="400" w:lineRule="exact"/>
        <w:ind w:firstLineChars="200"/>
        <w:rPr>
          <w:rFonts w:ascii="宋体" w:hAnsi="宋体" w:cs="Arial"/>
          <w:color w:val="auto"/>
          <w:kern w:val="0"/>
          <w:sz w:val="24"/>
          <w:szCs w:val="24"/>
        </w:rPr>
      </w:pPr>
      <w:r>
        <w:rPr>
          <w:rFonts w:hint="eastAsia" w:ascii="宋体" w:hAnsi="宋体"/>
          <w:kern w:val="2"/>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360" w:lineRule="auto"/>
        <w:ind w:firstLine="480" w:firstLineChars="200"/>
        <w:rPr>
          <w:rFonts w:hint="eastAsia" w:asciiTheme="minorEastAsia" w:hAnsiTheme="minorEastAsia" w:eastAsiaTheme="minorEastAsia"/>
          <w:bCs/>
          <w:color w:val="auto"/>
          <w:sz w:val="36"/>
          <w:szCs w:val="36"/>
        </w:rPr>
      </w:pPr>
      <w:r>
        <w:rPr>
          <w:rFonts w:hint="eastAsia" w:ascii="宋体" w:hAnsi="宋体" w:cs="Courier New"/>
          <w:bCs/>
          <w:color w:val="auto"/>
          <w:sz w:val="24"/>
          <w:szCs w:val="24"/>
          <w:lang w:eastAsia="zh-CN"/>
        </w:rPr>
        <w:t>（</w:t>
      </w:r>
      <w:r>
        <w:rPr>
          <w:rFonts w:hint="eastAsia" w:ascii="宋体" w:hAnsi="宋体" w:cs="Courier New"/>
          <w:bCs/>
          <w:color w:val="auto"/>
          <w:sz w:val="24"/>
          <w:szCs w:val="24"/>
          <w:lang w:val="en-US" w:eastAsia="zh-CN"/>
        </w:rPr>
        <w:t>2）</w:t>
      </w:r>
      <w:r>
        <w:rPr>
          <w:rFonts w:hint="eastAsia" w:ascii="宋体" w:hAnsi="宋体" w:cs="Courier New"/>
          <w:bCs/>
          <w:color w:val="auto"/>
          <w:sz w:val="24"/>
          <w:szCs w:val="24"/>
        </w:rPr>
        <w:t>本项目评分总分值为</w:t>
      </w:r>
      <w:r>
        <w:rPr>
          <w:rFonts w:ascii="宋体" w:hAnsi="宋体" w:cs="Courier New"/>
          <w:bCs/>
          <w:color w:val="auto"/>
          <w:sz w:val="24"/>
          <w:szCs w:val="24"/>
        </w:rPr>
        <w:t>100</w:t>
      </w:r>
      <w:r>
        <w:rPr>
          <w:rFonts w:hint="eastAsia" w:ascii="宋体" w:hAnsi="宋体" w:cs="Courier New"/>
          <w:bCs/>
          <w:color w:val="auto"/>
          <w:sz w:val="24"/>
          <w:szCs w:val="24"/>
        </w:rPr>
        <w:t>分。</w:t>
      </w:r>
      <w:bookmarkEnd w:id="157"/>
      <w:bookmarkEnd w:id="158"/>
      <w:bookmarkEnd w:id="159"/>
      <w:bookmarkStart w:id="160" w:name="_Toc26554094"/>
      <w:bookmarkStart w:id="161" w:name="_Toc49090576"/>
      <w:bookmarkStart w:id="162" w:name="_Toc120614282"/>
    </w:p>
    <w:tbl>
      <w:tblPr>
        <w:tblStyle w:val="37"/>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359" w:type="dxa"/>
            <w:vAlign w:val="center"/>
          </w:tcPr>
          <w:p>
            <w:pPr>
              <w:shd w:val="clear" w:color="auto" w:fill="FFFFFF"/>
              <w:spacing w:line="360" w:lineRule="exact"/>
              <w:jc w:val="center"/>
              <w:rPr>
                <w:rFonts w:ascii="宋体" w:hAnsi="宋体" w:cs="宋体"/>
                <w:bCs/>
                <w:sz w:val="22"/>
                <w:szCs w:val="22"/>
              </w:rPr>
            </w:pPr>
            <w:r>
              <w:rPr>
                <w:rFonts w:hint="eastAsia" w:ascii="宋体" w:hAnsi="宋体" w:cs="宋体"/>
                <w:b/>
                <w:bCs/>
                <w:sz w:val="22"/>
                <w:szCs w:val="22"/>
              </w:rPr>
              <w:t>一、投标报价（总分3</w:t>
            </w:r>
            <w:r>
              <w:rPr>
                <w:rFonts w:hint="eastAsia" w:ascii="宋体" w:hAnsi="宋体" w:cs="宋体"/>
                <w:b/>
                <w:bCs/>
                <w:kern w:val="0"/>
                <w:sz w:val="22"/>
                <w:szCs w:val="22"/>
              </w:rPr>
              <w:t>0分</w:t>
            </w:r>
            <w:r>
              <w:rPr>
                <w:rFonts w:hint="eastAsia" w:ascii="宋体" w:hAnsi="宋体" w:cs="宋体"/>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359" w:type="dxa"/>
            <w:vAlign w:val="center"/>
          </w:tcPr>
          <w:p>
            <w:pPr>
              <w:adjustRightInd w:val="0"/>
              <w:snapToGrid w:val="0"/>
              <w:spacing w:line="360" w:lineRule="exact"/>
              <w:ind w:firstLine="440" w:firstLineChars="200"/>
              <w:rPr>
                <w:rFonts w:ascii="宋体" w:hAnsi="宋体" w:cs="宋体"/>
                <w:sz w:val="22"/>
                <w:szCs w:val="22"/>
              </w:rPr>
            </w:pPr>
            <w:r>
              <w:rPr>
                <w:rFonts w:hint="eastAsia" w:ascii="宋体" w:hAnsi="宋体" w:cs="Arial"/>
                <w:kern w:val="0"/>
                <w:sz w:val="22"/>
                <w:szCs w:val="22"/>
              </w:rPr>
              <w:t>满足招标文件要求且投标价格最低的投标报价为评标基准价，其价格分为满分。其他投标人的价格分统一按照下列公式计算：投标报价得分=(评标基准价／投标报价)×30（该结果四舍五入，保留两位小数）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59" w:type="dxa"/>
            <w:vAlign w:val="center"/>
          </w:tcPr>
          <w:p>
            <w:pPr>
              <w:shd w:val="clear" w:color="auto" w:fill="FFFFFF"/>
              <w:spacing w:line="360" w:lineRule="exact"/>
              <w:jc w:val="center"/>
              <w:rPr>
                <w:rFonts w:ascii="宋体" w:hAnsi="宋体" w:cs="宋体"/>
                <w:bCs/>
                <w:sz w:val="22"/>
                <w:szCs w:val="22"/>
              </w:rPr>
            </w:pPr>
            <w:r>
              <w:rPr>
                <w:rFonts w:hint="eastAsia" w:ascii="宋体" w:hAnsi="宋体" w:cs="Courier New"/>
                <w:b/>
                <w:color w:val="000000"/>
                <w:sz w:val="22"/>
                <w:szCs w:val="22"/>
              </w:rPr>
              <w:t>二、技术评审</w:t>
            </w:r>
            <w:r>
              <w:rPr>
                <w:rFonts w:hint="eastAsia" w:ascii="宋体" w:hAnsi="宋体"/>
                <w:b/>
                <w:spacing w:val="-6"/>
                <w:sz w:val="22"/>
                <w:szCs w:val="22"/>
              </w:rPr>
              <w:t>（总分</w:t>
            </w:r>
            <w:r>
              <w:rPr>
                <w:rFonts w:hint="eastAsia" w:ascii="宋体" w:hAnsi="宋体" w:cs="Courier New"/>
                <w:b/>
                <w:color w:val="000000"/>
                <w:sz w:val="22"/>
                <w:szCs w:val="22"/>
              </w:rPr>
              <w:t>3</w:t>
            </w:r>
            <w:r>
              <w:rPr>
                <w:rFonts w:hint="eastAsia" w:ascii="宋体" w:hAnsi="宋体" w:cs="Courier New"/>
                <w:b/>
                <w:color w:val="000000"/>
                <w:sz w:val="22"/>
                <w:szCs w:val="22"/>
                <w:lang w:val="en-US" w:eastAsia="zh-CN"/>
              </w:rPr>
              <w:t>3</w:t>
            </w:r>
            <w:r>
              <w:rPr>
                <w:rFonts w:hint="eastAsia" w:ascii="宋体" w:hAnsi="宋体" w:cs="Courier New"/>
                <w:b/>
                <w:color w:val="000000"/>
                <w:sz w:val="22"/>
                <w:szCs w:val="22"/>
              </w:rPr>
              <w:t>分</w:t>
            </w:r>
            <w:r>
              <w:rPr>
                <w:rFonts w:hint="eastAsia" w:ascii="宋体" w:hAnsi="宋体"/>
                <w:b/>
                <w:spacing w:val="-6"/>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9" w:type="dxa"/>
            <w:vAlign w:val="center"/>
          </w:tcPr>
          <w:p>
            <w:pPr>
              <w:spacing w:line="360" w:lineRule="exact"/>
              <w:ind w:firstLine="440" w:firstLineChars="200"/>
              <w:rPr>
                <w:rFonts w:ascii="宋体" w:hAnsi="宋体" w:cs="宋体"/>
                <w:sz w:val="22"/>
                <w:szCs w:val="22"/>
              </w:rPr>
            </w:pPr>
            <w:r>
              <w:rPr>
                <w:rFonts w:hint="eastAsia" w:ascii="宋体" w:hAnsi="宋体" w:cs="宋体"/>
                <w:sz w:val="22"/>
                <w:szCs w:val="22"/>
              </w:rPr>
              <w:t>投标人所投产品满足招标文件全部要求的得3</w:t>
            </w:r>
            <w:r>
              <w:rPr>
                <w:rFonts w:hint="eastAsia" w:ascii="宋体" w:hAnsi="宋体" w:cs="宋体"/>
                <w:sz w:val="22"/>
                <w:szCs w:val="22"/>
                <w:lang w:val="en-US" w:eastAsia="zh-CN"/>
              </w:rPr>
              <w:t>3</w:t>
            </w:r>
            <w:r>
              <w:rPr>
                <w:rFonts w:hint="eastAsia" w:ascii="宋体" w:hAnsi="宋体" w:cs="宋体"/>
                <w:sz w:val="22"/>
                <w:szCs w:val="22"/>
              </w:rPr>
              <w:t>分，采购需求中标注“★”号的为关键参数，标注“★”的参数不满足要求的，每项扣1分，不带“★”参数不满足要求的，每项扣0.5分，扣完为止。（采购需求中要求提供检测报告、</w:t>
            </w:r>
            <w:r>
              <w:rPr>
                <w:rFonts w:hint="eastAsia" w:ascii="宋体" w:hAnsi="宋体" w:cs="宋体"/>
                <w:sz w:val="22"/>
                <w:szCs w:val="22"/>
                <w:lang w:val="en-US" w:eastAsia="zh-CN"/>
              </w:rPr>
              <w:t>认证证书</w:t>
            </w:r>
            <w:r>
              <w:rPr>
                <w:rFonts w:hint="eastAsia" w:ascii="宋体" w:hAnsi="宋体" w:cs="宋体"/>
                <w:sz w:val="22"/>
                <w:szCs w:val="22"/>
              </w:rPr>
              <w:t>等以投标人提供的相关材料为准，未提供相关证明材料作负偏离处理。未作要求的以投标人提供的技术参数响应及偏离表为准）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359" w:type="dxa"/>
            <w:vAlign w:val="center"/>
          </w:tcPr>
          <w:p>
            <w:pPr>
              <w:spacing w:line="360" w:lineRule="exact"/>
              <w:jc w:val="center"/>
              <w:rPr>
                <w:rFonts w:ascii="宋体" w:hAnsi="宋体" w:cs="宋体"/>
                <w:sz w:val="22"/>
                <w:szCs w:val="22"/>
              </w:rPr>
            </w:pPr>
            <w:r>
              <w:rPr>
                <w:rFonts w:hint="eastAsia" w:ascii="宋体" w:hAnsi="宋体" w:cs="Courier New"/>
                <w:b/>
                <w:sz w:val="22"/>
                <w:szCs w:val="22"/>
              </w:rPr>
              <w:t>三、实施方案（总分</w:t>
            </w:r>
            <w:r>
              <w:rPr>
                <w:rFonts w:hint="eastAsia" w:ascii="宋体" w:hAnsi="宋体" w:cs="Courier New"/>
                <w:b/>
                <w:sz w:val="22"/>
                <w:szCs w:val="22"/>
                <w:lang w:val="en-US" w:eastAsia="zh-CN"/>
              </w:rPr>
              <w:t>15</w:t>
            </w:r>
            <w:r>
              <w:rPr>
                <w:rFonts w:hint="eastAsia" w:ascii="宋体" w:hAnsi="宋体" w:cs="Courier New"/>
                <w:b/>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359" w:type="dxa"/>
            <w:vAlign w:val="center"/>
          </w:tcPr>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1.技术方案：对本项目目标、内容和范围把握准确，符合相关标准、指南且合理、完整、可行，并有明确的方案。评委从科学性、先进性、实用性、成熟性、创新性等方面进行评审，内容完整得基本分为</w:t>
            </w:r>
            <w:r>
              <w:rPr>
                <w:rFonts w:hint="eastAsia" w:ascii="宋体" w:hAnsi="宋体" w:cs="宋体"/>
                <w:sz w:val="22"/>
                <w:szCs w:val="22"/>
                <w:lang w:val="en-US" w:eastAsia="zh-CN"/>
              </w:rPr>
              <w:t>4</w:t>
            </w:r>
            <w:r>
              <w:rPr>
                <w:rFonts w:hint="eastAsia" w:ascii="宋体" w:hAnsi="宋体" w:eastAsia="宋体" w:cs="宋体"/>
                <w:sz w:val="22"/>
                <w:szCs w:val="22"/>
              </w:rPr>
              <w:t>分，加分区间为0-1分，以0.1分为一个计分单位，未提供方案的本项不得分。</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项目实施方案</w:t>
            </w:r>
            <w:r>
              <w:rPr>
                <w:rFonts w:hint="eastAsia" w:ascii="宋体" w:hAnsi="宋体" w:eastAsia="宋体" w:cs="宋体"/>
                <w:sz w:val="22"/>
                <w:szCs w:val="22"/>
              </w:rPr>
              <w:t>：评委从投标人提供项目实施方案，评委依据方案总体部署措施，质量、安全保证措施，实施进度计划及工期保证措施等方面进行评审，内容完整得基本分为</w:t>
            </w:r>
            <w:r>
              <w:rPr>
                <w:rFonts w:hint="eastAsia" w:ascii="宋体" w:hAnsi="宋体" w:cs="宋体"/>
                <w:sz w:val="22"/>
                <w:szCs w:val="22"/>
                <w:lang w:val="en-US" w:eastAsia="zh-CN"/>
              </w:rPr>
              <w:t>4</w:t>
            </w:r>
            <w:r>
              <w:rPr>
                <w:rFonts w:hint="eastAsia" w:ascii="宋体" w:hAnsi="宋体" w:eastAsia="宋体" w:cs="宋体"/>
                <w:sz w:val="22"/>
                <w:szCs w:val="22"/>
              </w:rPr>
              <w:t>分，加分区间为0-</w:t>
            </w:r>
            <w:r>
              <w:rPr>
                <w:rFonts w:hint="eastAsia" w:ascii="宋体" w:hAnsi="宋体" w:eastAsia="宋体" w:cs="宋体"/>
                <w:sz w:val="22"/>
                <w:szCs w:val="22"/>
                <w:lang w:val="en-US" w:eastAsia="zh-CN"/>
              </w:rPr>
              <w:t>1</w:t>
            </w:r>
            <w:r>
              <w:rPr>
                <w:rFonts w:hint="eastAsia" w:ascii="宋体" w:hAnsi="宋体" w:eastAsia="宋体" w:cs="宋体"/>
                <w:sz w:val="22"/>
                <w:szCs w:val="22"/>
              </w:rPr>
              <w:t>分，以0.1分为一个计分单位，未提供方案的本项不得分。</w:t>
            </w:r>
          </w:p>
          <w:p>
            <w:pPr>
              <w:spacing w:line="360" w:lineRule="exact"/>
              <w:ind w:firstLine="440" w:firstLineChars="200"/>
              <w:rPr>
                <w:sz w:val="22"/>
                <w:szCs w:val="22"/>
              </w:rPr>
            </w:pPr>
            <w:r>
              <w:rPr>
                <w:rFonts w:hint="eastAsia" w:ascii="宋体" w:hAnsi="宋体" w:eastAsia="宋体" w:cs="宋体"/>
                <w:sz w:val="22"/>
                <w:szCs w:val="22"/>
                <w:lang w:val="en-US" w:eastAsia="zh-CN"/>
              </w:rPr>
              <w:t>3、</w:t>
            </w:r>
            <w:r>
              <w:rPr>
                <w:rFonts w:hint="eastAsia" w:ascii="宋体" w:hAnsi="宋体" w:eastAsia="宋体" w:cs="宋体"/>
                <w:sz w:val="22"/>
                <w:szCs w:val="22"/>
              </w:rPr>
              <w:t>评委根据投标人提供的售后服务方案酌情打分，方案具体包括：故障响应机制、提供巡检、免费质保、供货时间及质保期后的服务等方面进行评审</w:t>
            </w:r>
            <w:r>
              <w:rPr>
                <w:rFonts w:hint="eastAsia" w:ascii="宋体" w:hAnsi="宋体" w:eastAsia="宋体" w:cs="宋体"/>
                <w:sz w:val="22"/>
                <w:szCs w:val="22"/>
                <w:lang w:eastAsia="zh-CN"/>
              </w:rPr>
              <w:t>，</w:t>
            </w:r>
            <w:r>
              <w:rPr>
                <w:rFonts w:hint="eastAsia" w:ascii="宋体" w:hAnsi="宋体" w:eastAsia="宋体" w:cs="宋体"/>
                <w:sz w:val="22"/>
                <w:szCs w:val="22"/>
              </w:rPr>
              <w:t>内容齐全得基本分</w:t>
            </w:r>
            <w:r>
              <w:rPr>
                <w:rFonts w:hint="eastAsia" w:ascii="宋体" w:hAnsi="宋体" w:cs="宋体"/>
                <w:sz w:val="22"/>
                <w:szCs w:val="22"/>
                <w:lang w:val="en-US" w:eastAsia="zh-CN"/>
              </w:rPr>
              <w:t>4</w:t>
            </w:r>
            <w:r>
              <w:rPr>
                <w:rFonts w:hint="eastAsia" w:ascii="宋体" w:hAnsi="宋体" w:eastAsia="宋体" w:cs="宋体"/>
                <w:sz w:val="22"/>
                <w:szCs w:val="22"/>
              </w:rPr>
              <w:t>分，加分区间为0-1分，以0.1分为一个计分单位，未提供方案的本项不得分。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359" w:type="dxa"/>
            <w:vAlign w:val="center"/>
          </w:tcPr>
          <w:p>
            <w:pPr>
              <w:shd w:val="clear" w:color="auto" w:fill="FFFFFF"/>
              <w:spacing w:line="360" w:lineRule="exact"/>
              <w:jc w:val="center"/>
              <w:rPr>
                <w:rFonts w:ascii="宋体" w:hAnsi="宋体" w:cs="宋体"/>
                <w:bCs/>
                <w:sz w:val="22"/>
                <w:szCs w:val="22"/>
              </w:rPr>
            </w:pPr>
            <w:r>
              <w:rPr>
                <w:rFonts w:hint="eastAsia" w:ascii="宋体" w:hAnsi="宋体" w:cs="Courier New"/>
                <w:b/>
                <w:sz w:val="22"/>
                <w:szCs w:val="22"/>
              </w:rPr>
              <w:t>四、现场系统演示（总分10分）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359" w:type="dxa"/>
            <w:vAlign w:val="center"/>
          </w:tcPr>
          <w:p>
            <w:pPr>
              <w:widowControl/>
              <w:ind w:firstLine="440" w:firstLineChars="200"/>
              <w:jc w:val="left"/>
              <w:rPr>
                <w:rFonts w:hint="eastAsia" w:ascii="宋体" w:hAnsi="宋体" w:eastAsia="宋体" w:cs="宋体"/>
                <w:sz w:val="22"/>
                <w:szCs w:val="22"/>
                <w:highlight w:val="none"/>
                <w:lang w:val="en-US" w:eastAsia="zh-CN"/>
              </w:rPr>
            </w:pPr>
            <w:r>
              <w:rPr>
                <w:rFonts w:hint="eastAsia" w:ascii="宋体" w:hAnsi="宋体" w:eastAsia="宋体" w:cs="宋体"/>
                <w:color w:val="000000"/>
                <w:kern w:val="0"/>
                <w:sz w:val="22"/>
                <w:szCs w:val="22"/>
                <w:highlight w:val="none"/>
              </w:rPr>
              <w:t>现场系统演示：演示内容应紧扣项目需求，讲述清晰</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评委根据投标</w:t>
            </w:r>
            <w:r>
              <w:rPr>
                <w:rFonts w:hint="eastAsia" w:ascii="宋体" w:hAnsi="宋体" w:eastAsia="宋体" w:cs="宋体"/>
                <w:color w:val="000000"/>
                <w:kern w:val="0"/>
                <w:sz w:val="22"/>
                <w:szCs w:val="22"/>
                <w:highlight w:val="none"/>
                <w:lang w:val="en-US" w:eastAsia="zh-CN"/>
              </w:rPr>
              <w:t>人</w:t>
            </w:r>
            <w:r>
              <w:rPr>
                <w:rFonts w:hint="eastAsia" w:ascii="宋体" w:hAnsi="宋体" w:eastAsia="宋体" w:cs="宋体"/>
                <w:color w:val="000000"/>
                <w:kern w:val="0"/>
                <w:sz w:val="22"/>
                <w:szCs w:val="22"/>
                <w:highlight w:val="none"/>
              </w:rPr>
              <w:t>演示、讲解情况进行综合打分。</w:t>
            </w:r>
          </w:p>
          <w:p>
            <w:pPr>
              <w:pStyle w:val="2"/>
              <w:numPr>
                <w:ilvl w:val="0"/>
                <w:numId w:val="0"/>
              </w:numPr>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平台监控中心需展示各区域部署设备数量，并展示设备数量、异常设备数量统计、最新的预警事件（一个功能点</w:t>
            </w:r>
            <w:r>
              <w:rPr>
                <w:rFonts w:hint="eastAsia" w:ascii="宋体" w:hAnsi="宋体" w:eastAsia="宋体" w:cs="宋体"/>
                <w:sz w:val="22"/>
                <w:szCs w:val="22"/>
                <w:highlight w:val="none"/>
                <w:lang w:val="en-US" w:eastAsia="zh-CN"/>
              </w:rPr>
              <w:t>0.5</w:t>
            </w:r>
            <w:r>
              <w:rPr>
                <w:rFonts w:hint="eastAsia" w:ascii="宋体" w:hAnsi="宋体" w:eastAsia="宋体" w:cs="宋体"/>
                <w:sz w:val="22"/>
                <w:szCs w:val="22"/>
                <w:highlight w:val="none"/>
              </w:rPr>
              <w:t>分，共</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p>
            <w:pPr>
              <w:pStyle w:val="2"/>
              <w:numPr>
                <w:ilvl w:val="0"/>
                <w:numId w:val="0"/>
              </w:numPr>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平台预警模块需展示当前设备预警信息，类型包括“待处理”、“今日预警”、“历史预警”；预警信息操作中需包含“测试”、“误报”、“真实预警”的判定（一个功能点</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分，共</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p>
            <w:pPr>
              <w:pStyle w:val="110"/>
              <w:numPr>
                <w:ilvl w:val="0"/>
                <w:numId w:val="0"/>
              </w:numPr>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电脑端具备生成、展示设备的二维码的功能 （</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分）</w:t>
            </w:r>
          </w:p>
          <w:p>
            <w:pPr>
              <w:pStyle w:val="2"/>
              <w:numPr>
                <w:ilvl w:val="0"/>
                <w:numId w:val="0"/>
              </w:numPr>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APP端具备扫描设备二维码功能（</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p>
            <w:pPr>
              <w:pStyle w:val="2"/>
              <w:numPr>
                <w:ilvl w:val="0"/>
                <w:numId w:val="0"/>
              </w:numPr>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APP端可查看设备的在线状态、剩余保护天数、剩余电量（</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分）</w:t>
            </w:r>
          </w:p>
          <w:p>
            <w:pPr>
              <w:ind w:firstLine="440" w:firstLineChars="200"/>
              <w:rPr>
                <w:rFonts w:ascii="宋体" w:hAnsi="宋体" w:cs="宋体"/>
                <w:bCs/>
                <w:sz w:val="22"/>
                <w:szCs w:val="22"/>
              </w:rPr>
            </w:pPr>
            <w:r>
              <w:rPr>
                <w:rFonts w:hint="eastAsia" w:ascii="宋体" w:hAnsi="宋体" w:cs="宋体"/>
                <w:b w:val="0"/>
                <w:bCs w:val="0"/>
                <w:color w:val="000000"/>
                <w:kern w:val="0"/>
                <w:sz w:val="22"/>
                <w:szCs w:val="22"/>
              </w:rPr>
              <w:t>注：</w:t>
            </w:r>
            <w:r>
              <w:rPr>
                <w:rFonts w:hint="eastAsia" w:ascii="宋体" w:hAnsi="宋体" w:cs="宋体"/>
                <w:b w:val="0"/>
                <w:bCs w:val="0"/>
                <w:color w:val="000000"/>
                <w:kern w:val="0"/>
                <w:sz w:val="22"/>
                <w:szCs w:val="22"/>
                <w:lang w:val="en-US" w:eastAsia="zh-CN"/>
              </w:rPr>
              <w:t>1、</w:t>
            </w:r>
            <w:r>
              <w:rPr>
                <w:rFonts w:hint="eastAsia" w:ascii="宋体" w:hAnsi="宋体" w:eastAsia="宋体" w:cs="宋体"/>
                <w:b w:val="0"/>
                <w:bCs w:val="0"/>
                <w:color w:val="000000"/>
                <w:kern w:val="0"/>
                <w:sz w:val="22"/>
                <w:szCs w:val="22"/>
              </w:rPr>
              <w:t>以上内容每个评审点演示齐全得相应分值，演示不全对应评审点不得分。</w:t>
            </w:r>
            <w:r>
              <w:rPr>
                <w:rFonts w:hint="eastAsia" w:ascii="宋体" w:hAnsi="宋体" w:eastAsia="宋体" w:cs="宋体"/>
                <w:b w:val="0"/>
                <w:bCs w:val="0"/>
                <w:color w:val="000000"/>
                <w:kern w:val="0"/>
                <w:sz w:val="22"/>
                <w:szCs w:val="22"/>
                <w:lang w:val="en-US" w:eastAsia="zh-CN"/>
              </w:rPr>
              <w:t>2</w:t>
            </w:r>
            <w:r>
              <w:rPr>
                <w:rFonts w:hint="eastAsia" w:ascii="宋体" w:hAnsi="宋体" w:cs="宋体"/>
                <w:b w:val="0"/>
                <w:bCs w:val="0"/>
                <w:color w:val="000000"/>
                <w:kern w:val="0"/>
                <w:sz w:val="22"/>
                <w:szCs w:val="22"/>
              </w:rPr>
              <w:t>.投标人不参加演示</w:t>
            </w:r>
            <w:r>
              <w:rPr>
                <w:rFonts w:hint="eastAsia" w:ascii="宋体" w:hAnsi="宋体" w:cs="宋体"/>
                <w:b w:val="0"/>
                <w:bCs w:val="0"/>
                <w:color w:val="000000"/>
                <w:kern w:val="0"/>
                <w:sz w:val="22"/>
                <w:szCs w:val="22"/>
                <w:lang w:eastAsia="zh-CN"/>
              </w:rPr>
              <w:t>，</w:t>
            </w:r>
            <w:r>
              <w:rPr>
                <w:rFonts w:hint="eastAsia" w:ascii="宋体" w:hAnsi="宋体" w:cs="宋体"/>
                <w:b w:val="0"/>
                <w:bCs w:val="0"/>
                <w:color w:val="000000"/>
                <w:kern w:val="0"/>
                <w:sz w:val="22"/>
                <w:szCs w:val="22"/>
              </w:rPr>
              <w:t>设备不齐全导致无法演示</w:t>
            </w:r>
            <w:r>
              <w:rPr>
                <w:rFonts w:hint="eastAsia" w:ascii="宋体" w:hAnsi="宋体" w:cs="宋体"/>
                <w:b w:val="0"/>
                <w:bCs w:val="0"/>
                <w:color w:val="000000"/>
                <w:kern w:val="0"/>
                <w:sz w:val="22"/>
                <w:szCs w:val="22"/>
                <w:lang w:eastAsia="zh-CN"/>
              </w:rPr>
              <w:t>，</w:t>
            </w:r>
            <w:r>
              <w:rPr>
                <w:rFonts w:hint="eastAsia" w:ascii="宋体" w:hAnsi="宋体" w:eastAsia="宋体" w:cs="宋体"/>
                <w:b w:val="0"/>
                <w:bCs w:val="0"/>
                <w:color w:val="000000"/>
                <w:kern w:val="0"/>
                <w:sz w:val="22"/>
                <w:szCs w:val="22"/>
                <w:highlight w:val="none"/>
              </w:rPr>
              <w:t>使用PPT演示稿、录屏、DEMO等其他方式演示</w:t>
            </w:r>
            <w:r>
              <w:rPr>
                <w:rFonts w:hint="eastAsia" w:ascii="宋体" w:hAnsi="宋体" w:cs="宋体"/>
                <w:b w:val="0"/>
                <w:bCs w:val="0"/>
                <w:color w:val="000000"/>
                <w:kern w:val="0"/>
                <w:sz w:val="22"/>
                <w:szCs w:val="22"/>
              </w:rPr>
              <w:t>，</w:t>
            </w:r>
            <w:r>
              <w:rPr>
                <w:rFonts w:hint="eastAsia" w:ascii="宋体" w:hAnsi="宋体" w:cs="宋体"/>
                <w:b w:val="0"/>
                <w:bCs w:val="0"/>
                <w:color w:val="000000"/>
                <w:kern w:val="0"/>
                <w:sz w:val="22"/>
                <w:szCs w:val="22"/>
                <w:lang w:val="en-US" w:eastAsia="zh-CN"/>
              </w:rPr>
              <w:t>以上情形视为</w:t>
            </w:r>
            <w:r>
              <w:rPr>
                <w:rFonts w:hint="eastAsia" w:ascii="宋体" w:hAnsi="宋体" w:cs="宋体"/>
                <w:b w:val="0"/>
                <w:bCs w:val="0"/>
                <w:color w:val="000000"/>
                <w:kern w:val="0"/>
                <w:sz w:val="22"/>
                <w:szCs w:val="22"/>
              </w:rPr>
              <w:t>符合性审查不通过，作为无效</w:t>
            </w:r>
            <w:r>
              <w:rPr>
                <w:rFonts w:hint="eastAsia" w:ascii="宋体" w:hAnsi="宋体" w:cs="宋体"/>
                <w:b w:val="0"/>
                <w:bCs w:val="0"/>
                <w:color w:val="000000"/>
                <w:kern w:val="0"/>
                <w:sz w:val="22"/>
                <w:szCs w:val="22"/>
                <w:lang w:val="en-US" w:eastAsia="zh-CN"/>
              </w:rPr>
              <w:t>投</w:t>
            </w:r>
            <w:r>
              <w:rPr>
                <w:rFonts w:hint="eastAsia" w:ascii="宋体" w:hAnsi="宋体" w:cs="宋体"/>
                <w:b w:val="0"/>
                <w:bCs w:val="0"/>
                <w:color w:val="000000"/>
                <w:kern w:val="0"/>
                <w:sz w:val="22"/>
                <w:szCs w:val="22"/>
              </w:rPr>
              <w:t>标处理</w:t>
            </w:r>
            <w:r>
              <w:rPr>
                <w:rFonts w:hint="eastAsia" w:ascii="宋体" w:hAnsi="宋体" w:cs="宋体"/>
                <w:b w:val="0"/>
                <w:bCs w:val="0"/>
                <w:color w:val="000000"/>
                <w:kern w:val="0"/>
                <w:sz w:val="22"/>
                <w:szCs w:val="22"/>
                <w:lang w:eastAsia="zh-CN"/>
              </w:rPr>
              <w:t>；</w:t>
            </w:r>
            <w:r>
              <w:rPr>
                <w:rFonts w:hint="eastAsia" w:ascii="宋体" w:hAnsi="宋体" w:cs="宋体"/>
                <w:b w:val="0"/>
                <w:bCs w:val="0"/>
                <w:color w:val="000000"/>
                <w:kern w:val="0"/>
                <w:sz w:val="22"/>
                <w:szCs w:val="22"/>
                <w:lang w:val="en-US" w:eastAsia="zh-CN"/>
              </w:rPr>
              <w:t>3</w:t>
            </w:r>
            <w:r>
              <w:rPr>
                <w:rFonts w:ascii="宋体" w:hAnsi="宋体" w:cs="宋体"/>
                <w:b w:val="0"/>
                <w:bCs w:val="0"/>
                <w:color w:val="000000"/>
                <w:kern w:val="0"/>
                <w:sz w:val="22"/>
                <w:szCs w:val="22"/>
              </w:rPr>
              <w:t>.</w:t>
            </w:r>
            <w:r>
              <w:rPr>
                <w:rFonts w:hint="eastAsia" w:ascii="宋体" w:hAnsi="宋体" w:cs="宋体"/>
                <w:b w:val="0"/>
                <w:bCs w:val="0"/>
                <w:color w:val="000000"/>
                <w:kern w:val="0"/>
                <w:sz w:val="22"/>
                <w:szCs w:val="22"/>
              </w:rPr>
              <w:t>评标现场</w:t>
            </w:r>
            <w:r>
              <w:rPr>
                <w:rFonts w:hint="eastAsia" w:ascii="宋体" w:hAnsi="宋体" w:cs="宋体"/>
                <w:b w:val="0"/>
                <w:bCs w:val="0"/>
                <w:color w:val="000000"/>
                <w:kern w:val="0"/>
                <w:sz w:val="22"/>
                <w:szCs w:val="22"/>
                <w:lang w:val="en-US" w:eastAsia="zh-CN"/>
              </w:rPr>
              <w:t>仅</w:t>
            </w:r>
            <w:r>
              <w:rPr>
                <w:rFonts w:hint="eastAsia" w:ascii="宋体" w:hAnsi="宋体" w:cs="宋体"/>
                <w:b w:val="0"/>
                <w:bCs w:val="0"/>
                <w:color w:val="000000"/>
                <w:kern w:val="0"/>
                <w:sz w:val="22"/>
                <w:szCs w:val="22"/>
              </w:rPr>
              <w:t>具备投影HDMI接口，</w:t>
            </w:r>
            <w:r>
              <w:rPr>
                <w:rFonts w:hint="eastAsia" w:ascii="宋体" w:hAnsi="宋体" w:cs="宋体"/>
                <w:b w:val="0"/>
                <w:bCs w:val="0"/>
                <w:color w:val="000000"/>
                <w:kern w:val="0"/>
                <w:sz w:val="22"/>
                <w:szCs w:val="22"/>
                <w:lang w:val="en-US" w:eastAsia="zh-CN"/>
              </w:rPr>
              <w:t>不具备网络环境，</w:t>
            </w:r>
            <w:r>
              <w:rPr>
                <w:rFonts w:hint="eastAsia" w:ascii="宋体" w:hAnsi="宋体" w:cs="宋体"/>
                <w:b w:val="0"/>
                <w:bCs w:val="0"/>
                <w:color w:val="000000"/>
                <w:kern w:val="0"/>
                <w:sz w:val="22"/>
                <w:szCs w:val="22"/>
              </w:rPr>
              <w:t>其他设备</w:t>
            </w:r>
            <w:r>
              <w:rPr>
                <w:rFonts w:hint="eastAsia" w:ascii="宋体" w:hAnsi="宋体" w:cs="宋体"/>
                <w:b w:val="0"/>
                <w:bCs w:val="0"/>
                <w:color w:val="000000"/>
                <w:kern w:val="0"/>
                <w:sz w:val="22"/>
                <w:szCs w:val="22"/>
                <w:lang w:val="en-US" w:eastAsia="zh-CN"/>
              </w:rPr>
              <w:t>由</w:t>
            </w:r>
            <w:r>
              <w:rPr>
                <w:rFonts w:hint="eastAsia" w:ascii="宋体" w:hAnsi="宋体" w:cs="宋体"/>
                <w:b w:val="0"/>
                <w:bCs w:val="0"/>
                <w:color w:val="000000"/>
                <w:kern w:val="0"/>
                <w:sz w:val="22"/>
                <w:szCs w:val="22"/>
              </w:rPr>
              <w:t>投标人自备；4．演示时间不超过15分钟，超出时间的，评委酌情扣分。</w:t>
            </w:r>
            <w:r>
              <w:rPr>
                <w:rFonts w:hint="eastAsia" w:ascii="宋体" w:hAnsi="宋体" w:eastAsia="宋体" w:cs="宋体"/>
                <w:b w:val="0"/>
                <w:bCs w:val="0"/>
                <w:color w:val="000000"/>
                <w:kern w:val="0"/>
                <w:sz w:val="22"/>
                <w:szCs w:val="22"/>
                <w:highlight w:val="none"/>
              </w:rPr>
              <w:t>投标人需由方案设计人员（不超过2人）进行现场讲解。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59" w:type="dxa"/>
            <w:vAlign w:val="center"/>
          </w:tcPr>
          <w:p>
            <w:pPr>
              <w:spacing w:line="300" w:lineRule="exact"/>
              <w:jc w:val="center"/>
              <w:rPr>
                <w:rFonts w:ascii="宋体" w:hAnsi="宋体" w:cs="宋体"/>
                <w:bCs/>
                <w:sz w:val="22"/>
                <w:szCs w:val="22"/>
              </w:rPr>
            </w:pPr>
            <w:r>
              <w:rPr>
                <w:rFonts w:hint="eastAsia" w:ascii="宋体" w:hAnsi="宋体" w:cs="宋体"/>
                <w:b/>
                <w:sz w:val="22"/>
                <w:szCs w:val="22"/>
              </w:rPr>
              <w:t>五、</w:t>
            </w:r>
            <w:r>
              <w:rPr>
                <w:rFonts w:hint="eastAsia" w:ascii="宋体" w:hAnsi="宋体" w:cs="Courier New"/>
                <w:b/>
                <w:bCs/>
                <w:sz w:val="22"/>
                <w:szCs w:val="22"/>
              </w:rPr>
              <w:t>投标人综合能力（</w:t>
            </w:r>
            <w:r>
              <w:rPr>
                <w:rFonts w:hint="eastAsia" w:ascii="宋体" w:hAnsi="宋体" w:cs="Courier New"/>
                <w:b/>
                <w:bCs/>
                <w:sz w:val="22"/>
                <w:szCs w:val="22"/>
                <w:lang w:val="en-US" w:eastAsia="zh-CN"/>
              </w:rPr>
              <w:t>5</w:t>
            </w:r>
            <w:r>
              <w:rPr>
                <w:rFonts w:hint="eastAsia" w:ascii="宋体" w:hAnsi="宋体" w:cs="Courier New"/>
                <w:b/>
                <w:bCs/>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359" w:type="dxa"/>
            <w:vAlign w:val="center"/>
          </w:tcPr>
          <w:p>
            <w:pPr>
              <w:numPr>
                <w:ilvl w:val="0"/>
                <w:numId w:val="0"/>
              </w:numPr>
              <w:spacing w:line="360" w:lineRule="exact"/>
              <w:ind w:left="0" w:leftChars="0" w:firstLine="440" w:firstLineChars="200"/>
              <w:jc w:val="left"/>
              <w:rPr>
                <w:rFonts w:hint="eastAsia"/>
                <w:sz w:val="22"/>
                <w:szCs w:val="22"/>
                <w:lang w:val="en-US" w:eastAsia="zh-CN"/>
              </w:rPr>
            </w:pPr>
            <w:r>
              <w:rPr>
                <w:rFonts w:hint="eastAsia"/>
                <w:sz w:val="22"/>
                <w:szCs w:val="22"/>
                <w:lang w:val="en-US" w:eastAsia="zh-CN"/>
              </w:rPr>
              <w:t>1、投标人具备有效期内的软件成熟度CMMI三级及以上证书的得1分。（以提供证书复印件加盖投标人公章为准，未提供不得分。）</w:t>
            </w:r>
          </w:p>
          <w:p>
            <w:pPr>
              <w:numPr>
                <w:ilvl w:val="0"/>
                <w:numId w:val="0"/>
              </w:numPr>
              <w:spacing w:line="360" w:lineRule="exact"/>
              <w:ind w:left="0" w:leftChars="0" w:firstLine="440" w:firstLineChars="200"/>
              <w:jc w:val="left"/>
              <w:rPr>
                <w:rFonts w:hint="eastAsia"/>
                <w:sz w:val="22"/>
                <w:szCs w:val="22"/>
                <w:lang w:val="en-US" w:eastAsia="zh-CN"/>
              </w:rPr>
            </w:pPr>
            <w:r>
              <w:rPr>
                <w:rFonts w:hint="eastAsia"/>
                <w:sz w:val="22"/>
                <w:szCs w:val="22"/>
                <w:lang w:val="en-US" w:eastAsia="zh-CN"/>
              </w:rPr>
              <w:t>2、投标人具有ISO20000  IT服务管理体系认证证书（产品或服务范围需包括应用软件设计开发）的得1分。（以提供的网站截图和证书复印件加盖投标人公章为准，未提供或提供不全不得分）（认证证书查询官网“全国认证认可信息公共服务平台http://cx.cnca.cn/”）</w:t>
            </w:r>
          </w:p>
          <w:p>
            <w:pPr>
              <w:numPr>
                <w:ilvl w:val="0"/>
                <w:numId w:val="0"/>
              </w:numPr>
              <w:spacing w:line="360" w:lineRule="exact"/>
              <w:ind w:left="0" w:leftChars="0" w:firstLine="440" w:firstLineChars="200"/>
              <w:jc w:val="left"/>
              <w:rPr>
                <w:rFonts w:hint="eastAsia"/>
                <w:sz w:val="22"/>
                <w:szCs w:val="22"/>
                <w:lang w:val="en-US" w:eastAsia="zh-CN"/>
              </w:rPr>
            </w:pPr>
            <w:r>
              <w:rPr>
                <w:rFonts w:hint="eastAsia"/>
                <w:sz w:val="22"/>
                <w:szCs w:val="22"/>
                <w:lang w:val="en-US" w:eastAsia="zh-CN"/>
              </w:rPr>
              <w:t>3、投标人具有ISO27001 信息安全管理体系认证证书（产品或服务范围需包括应用软件设计开发）的得1分（以提供的网站截图和证书复印件加盖投标人公章为准，未提供或提供不全不得分。）（认证证书查询官网“全国认证认可信息公共服务平台http://cx.cnca.cn/”）</w:t>
            </w:r>
          </w:p>
          <w:p>
            <w:pPr>
              <w:numPr>
                <w:ilvl w:val="0"/>
                <w:numId w:val="0"/>
              </w:numPr>
              <w:spacing w:line="360" w:lineRule="exact"/>
              <w:ind w:left="0" w:leftChars="0" w:firstLine="440" w:firstLineChars="200"/>
              <w:jc w:val="left"/>
              <w:rPr>
                <w:rFonts w:hint="eastAsia" w:ascii="宋体" w:hAnsi="宋体" w:eastAsia="宋体" w:cs="宋体"/>
                <w:color w:val="000000"/>
                <w:kern w:val="0"/>
                <w:sz w:val="22"/>
                <w:szCs w:val="22"/>
                <w:highlight w:val="none"/>
              </w:rPr>
            </w:pPr>
            <w:r>
              <w:rPr>
                <w:rFonts w:hint="eastAsia"/>
                <w:sz w:val="22"/>
                <w:szCs w:val="22"/>
                <w:lang w:val="en-US" w:eastAsia="zh-CN"/>
              </w:rPr>
              <w:t>4、投标人应组建成熟的项目团队，项目组成员中具有系统集成项目管理工程师、信息系统项目管理师、软件设计师、注册信息安全专业人员（CISP），每满足1项得0.5分，同项证书不重复得分，最高得2分。(以提供证书复印件加盖投标人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359" w:type="dxa"/>
            <w:vAlign w:val="center"/>
          </w:tcPr>
          <w:p>
            <w:pPr>
              <w:spacing w:line="360" w:lineRule="exact"/>
              <w:jc w:val="center"/>
              <w:rPr>
                <w:rFonts w:ascii="宋体" w:hAnsi="宋体" w:cs="宋体"/>
                <w:sz w:val="22"/>
                <w:szCs w:val="22"/>
              </w:rPr>
            </w:pPr>
            <w:r>
              <w:rPr>
                <w:rFonts w:hint="eastAsia" w:ascii="宋体" w:hAnsi="宋体" w:cs="宋体"/>
                <w:b/>
                <w:bCs/>
                <w:sz w:val="22"/>
                <w:szCs w:val="22"/>
              </w:rPr>
              <w:t>六、投标人业绩（</w:t>
            </w:r>
            <w:r>
              <w:rPr>
                <w:rFonts w:hint="eastAsia" w:ascii="宋体" w:hAnsi="宋体" w:cs="宋体"/>
                <w:b/>
                <w:bCs/>
                <w:sz w:val="22"/>
                <w:szCs w:val="22"/>
                <w:lang w:val="en-US" w:eastAsia="zh-CN"/>
              </w:rPr>
              <w:t>5</w:t>
            </w:r>
            <w:r>
              <w:rPr>
                <w:rFonts w:hint="eastAsia" w:ascii="宋体" w:hAnsi="宋体" w:cs="宋体"/>
                <w:b/>
                <w:bCs/>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359" w:type="dxa"/>
            <w:vAlign w:val="center"/>
          </w:tcPr>
          <w:p>
            <w:pPr>
              <w:spacing w:line="360" w:lineRule="exact"/>
              <w:ind w:firstLine="440" w:firstLineChars="200"/>
              <w:jc w:val="left"/>
              <w:rPr>
                <w:rFonts w:ascii="宋体" w:hAnsi="宋体" w:cs="宋体"/>
                <w:b/>
                <w:sz w:val="22"/>
                <w:szCs w:val="22"/>
              </w:rPr>
            </w:pPr>
            <w:r>
              <w:rPr>
                <w:rFonts w:hint="eastAsia" w:ascii="宋体" w:hAnsi="宋体" w:cs="宋体"/>
                <w:sz w:val="22"/>
                <w:szCs w:val="22"/>
              </w:rPr>
              <w:t>投标人自2018年1月1日以来承担过类似项目业绩</w:t>
            </w:r>
            <w:r>
              <w:rPr>
                <w:rFonts w:hint="eastAsia" w:ascii="宋体" w:hAnsi="宋体" w:cs="宋体"/>
                <w:sz w:val="22"/>
                <w:szCs w:val="22"/>
                <w:lang w:val="en-US" w:eastAsia="zh-CN"/>
              </w:rPr>
              <w:t>的</w:t>
            </w:r>
            <w:r>
              <w:rPr>
                <w:rFonts w:hint="eastAsia" w:ascii="宋体" w:hAnsi="宋体" w:cs="宋体"/>
                <w:sz w:val="22"/>
                <w:szCs w:val="22"/>
              </w:rPr>
              <w:t>得</w:t>
            </w:r>
            <w:r>
              <w:rPr>
                <w:rFonts w:hint="eastAsia" w:ascii="宋体" w:hAnsi="宋体" w:cs="宋体"/>
                <w:sz w:val="22"/>
                <w:szCs w:val="22"/>
                <w:lang w:val="en-US" w:eastAsia="zh-CN"/>
              </w:rPr>
              <w:t>基本</w:t>
            </w:r>
            <w:r>
              <w:rPr>
                <w:rFonts w:hint="eastAsia" w:ascii="宋体" w:hAnsi="宋体" w:cs="宋体"/>
                <w:sz w:val="22"/>
                <w:szCs w:val="22"/>
              </w:rPr>
              <w:t>分</w:t>
            </w:r>
            <w:r>
              <w:rPr>
                <w:rFonts w:hint="eastAsia" w:ascii="宋体" w:hAnsi="宋体" w:cs="宋体"/>
                <w:sz w:val="22"/>
                <w:szCs w:val="22"/>
                <w:lang w:val="en-US" w:eastAsia="zh-CN"/>
              </w:rPr>
              <w:t>3分</w:t>
            </w:r>
            <w:r>
              <w:rPr>
                <w:rFonts w:hint="eastAsia" w:ascii="宋体" w:hAnsi="宋体" w:cs="宋体"/>
                <w:sz w:val="22"/>
                <w:szCs w:val="22"/>
              </w:rPr>
              <w:t>，</w:t>
            </w:r>
            <w:r>
              <w:rPr>
                <w:rFonts w:hint="eastAsia" w:ascii="宋体" w:hAnsi="宋体" w:cs="宋体"/>
                <w:sz w:val="22"/>
                <w:szCs w:val="22"/>
                <w:lang w:val="en-US" w:eastAsia="zh-CN"/>
              </w:rPr>
              <w:t>每多提供一份加1分，本项</w:t>
            </w:r>
            <w:r>
              <w:rPr>
                <w:rFonts w:hint="eastAsia" w:ascii="宋体" w:hAnsi="宋体" w:cs="宋体"/>
                <w:sz w:val="22"/>
                <w:szCs w:val="22"/>
              </w:rPr>
              <w:t>最</w:t>
            </w:r>
            <w:r>
              <w:rPr>
                <w:rFonts w:hint="eastAsia" w:ascii="宋体" w:hAnsi="宋体" w:cs="宋体"/>
                <w:sz w:val="22"/>
                <w:szCs w:val="22"/>
                <w:lang w:val="en-US" w:eastAsia="zh-CN"/>
              </w:rPr>
              <w:t>多</w:t>
            </w:r>
            <w:r>
              <w:rPr>
                <w:rFonts w:hint="eastAsia" w:ascii="宋体" w:hAnsi="宋体" w:cs="宋体"/>
                <w:sz w:val="22"/>
                <w:szCs w:val="22"/>
              </w:rPr>
              <w:t>得</w:t>
            </w:r>
            <w:r>
              <w:rPr>
                <w:rFonts w:hint="eastAsia" w:ascii="宋体" w:hAnsi="宋体" w:cs="宋体"/>
                <w:sz w:val="22"/>
                <w:szCs w:val="22"/>
                <w:lang w:val="en-US" w:eastAsia="zh-CN"/>
              </w:rPr>
              <w:t>5</w:t>
            </w:r>
            <w:r>
              <w:rPr>
                <w:rFonts w:hint="eastAsia" w:ascii="宋体" w:hAnsi="宋体" w:cs="宋体"/>
                <w:sz w:val="22"/>
                <w:szCs w:val="22"/>
              </w:rPr>
              <w:t>分，未提供不得分（以提供的业绩合同复印件加盖投标人公章为准）。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359" w:type="dxa"/>
            <w:vAlign w:val="center"/>
          </w:tcPr>
          <w:p>
            <w:pPr>
              <w:spacing w:line="360" w:lineRule="exact"/>
              <w:jc w:val="center"/>
              <w:rPr>
                <w:sz w:val="22"/>
                <w:szCs w:val="22"/>
              </w:rPr>
            </w:pPr>
            <w:r>
              <w:rPr>
                <w:rFonts w:hint="eastAsia" w:ascii="宋体" w:hAnsi="宋体" w:cs="宋体"/>
                <w:b/>
                <w:bCs/>
                <w:sz w:val="22"/>
                <w:szCs w:val="22"/>
              </w:rPr>
              <w:t>七、质保期承诺（</w:t>
            </w:r>
            <w:r>
              <w:rPr>
                <w:rFonts w:hint="eastAsia" w:ascii="宋体" w:hAnsi="宋体" w:cs="宋体"/>
                <w:b/>
                <w:bCs/>
                <w:sz w:val="22"/>
                <w:szCs w:val="22"/>
                <w:lang w:val="en-US" w:eastAsia="zh-CN"/>
              </w:rPr>
              <w:t>2</w:t>
            </w:r>
            <w:r>
              <w:rPr>
                <w:rFonts w:hint="eastAsia" w:ascii="宋体" w:hAnsi="宋体" w:cs="宋体"/>
                <w:b/>
                <w:bCs/>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359" w:type="dxa"/>
            <w:vAlign w:val="center"/>
          </w:tcPr>
          <w:p>
            <w:pPr>
              <w:numPr>
                <w:ilvl w:val="0"/>
                <w:numId w:val="0"/>
              </w:numPr>
              <w:adjustRightInd w:val="0"/>
              <w:snapToGrid w:val="0"/>
              <w:spacing w:line="360" w:lineRule="exact"/>
              <w:ind w:leftChars="0" w:firstLine="440" w:firstLineChars="200"/>
              <w:rPr>
                <w:sz w:val="22"/>
                <w:szCs w:val="22"/>
              </w:rPr>
            </w:pPr>
            <w:r>
              <w:rPr>
                <w:rFonts w:hint="eastAsia" w:ascii="宋体" w:hAnsi="宋体" w:eastAsia="宋体" w:cs="宋体"/>
                <w:color w:val="000000"/>
                <w:kern w:val="0"/>
                <w:sz w:val="22"/>
                <w:szCs w:val="22"/>
                <w:highlight w:val="none"/>
              </w:rPr>
              <w:t>投标人所投产品能够与采购方</w:t>
            </w:r>
            <w:r>
              <w:rPr>
                <w:rFonts w:hint="eastAsia" w:ascii="宋体" w:hAnsi="宋体" w:eastAsia="宋体" w:cs="宋体"/>
                <w:color w:val="000000"/>
                <w:kern w:val="0"/>
                <w:sz w:val="22"/>
                <w:szCs w:val="22"/>
                <w:highlight w:val="none"/>
                <w:lang w:val="en-US" w:eastAsia="zh-CN"/>
              </w:rPr>
              <w:t>现有</w:t>
            </w:r>
            <w:r>
              <w:rPr>
                <w:rFonts w:hint="eastAsia" w:ascii="宋体" w:hAnsi="宋体" w:eastAsia="宋体" w:cs="宋体"/>
                <w:color w:val="000000"/>
                <w:kern w:val="0"/>
                <w:sz w:val="22"/>
                <w:szCs w:val="22"/>
                <w:highlight w:val="none"/>
              </w:rPr>
              <w:t>消防通道监控预警平台进行数据无缝对接，并提供</w:t>
            </w:r>
            <w:r>
              <w:rPr>
                <w:rFonts w:hint="eastAsia" w:ascii="宋体" w:hAnsi="宋体" w:eastAsia="宋体" w:cs="宋体"/>
                <w:color w:val="000000"/>
                <w:kern w:val="0"/>
                <w:sz w:val="22"/>
                <w:szCs w:val="22"/>
                <w:highlight w:val="none"/>
                <w:lang w:val="en-US" w:eastAsia="zh-CN"/>
              </w:rPr>
              <w:t>无缝对接承诺函的得2</w:t>
            </w:r>
            <w:r>
              <w:rPr>
                <w:rFonts w:hint="eastAsia" w:ascii="宋体" w:hAnsi="宋体" w:eastAsia="宋体" w:cs="宋体"/>
                <w:color w:val="000000"/>
                <w:kern w:val="0"/>
                <w:sz w:val="22"/>
                <w:szCs w:val="22"/>
                <w:highlight w:val="none"/>
              </w:rPr>
              <w:t>分，不提供不得分</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承诺函格式自拟</w:t>
            </w:r>
            <w:r>
              <w:rPr>
                <w:rFonts w:hint="eastAsia" w:ascii="宋体" w:hAnsi="宋体" w:eastAsia="宋体" w:cs="宋体"/>
                <w:color w:val="000000"/>
                <w:kern w:val="0"/>
                <w:sz w:val="22"/>
                <w:szCs w:val="22"/>
                <w:highlight w:val="none"/>
              </w:rPr>
              <w:t>。</w:t>
            </w:r>
          </w:p>
        </w:tc>
      </w:tr>
    </w:tbl>
    <w:p>
      <w:pPr>
        <w:widowControl/>
        <w:jc w:val="both"/>
        <w:rPr>
          <w:rFonts w:hint="eastAsia" w:asciiTheme="minorEastAsia" w:hAnsiTheme="minorEastAsia" w:eastAsiaTheme="minorEastAsia"/>
          <w:bCs/>
          <w:color w:val="auto"/>
          <w:sz w:val="36"/>
          <w:szCs w:val="36"/>
        </w:rPr>
      </w:pPr>
    </w:p>
    <w:p>
      <w:pPr>
        <w:widowControl/>
        <w:jc w:val="center"/>
        <w:rPr>
          <w:rFonts w:hint="eastAsia" w:asciiTheme="minorEastAsia" w:hAnsiTheme="minorEastAsia" w:eastAsiaTheme="minorEastAsia"/>
          <w:bCs/>
          <w:color w:val="auto"/>
          <w:sz w:val="36"/>
          <w:szCs w:val="36"/>
        </w:rPr>
      </w:pPr>
    </w:p>
    <w:p>
      <w:pPr>
        <w:widowControl/>
        <w:jc w:val="center"/>
        <w:rPr>
          <w:rFonts w:hint="eastAsia" w:asciiTheme="minorEastAsia" w:hAnsiTheme="minorEastAsia" w:eastAsiaTheme="minorEastAsia"/>
          <w:bCs/>
          <w:color w:val="auto"/>
          <w:sz w:val="36"/>
          <w:szCs w:val="36"/>
        </w:rPr>
      </w:pPr>
    </w:p>
    <w:p>
      <w:pPr>
        <w:widowControl/>
        <w:jc w:val="center"/>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widowControl/>
        <w:jc w:val="both"/>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rPr>
          <w:rFonts w:hint="eastAsia" w:asciiTheme="minorEastAsia" w:hAnsiTheme="minorEastAsia" w:eastAsiaTheme="minorEastAsia"/>
          <w:bCs/>
          <w:color w:val="auto"/>
          <w:sz w:val="36"/>
          <w:szCs w:val="36"/>
        </w:rPr>
      </w:pPr>
    </w:p>
    <w:p>
      <w:pPr>
        <w:pStyle w:val="2"/>
        <w:ind w:left="0" w:leftChars="0" w:firstLine="0" w:firstLineChars="0"/>
        <w:rPr>
          <w:rFonts w:hint="eastAsia" w:asciiTheme="minorEastAsia" w:hAnsiTheme="minorEastAsia" w:eastAsiaTheme="minorEastAsia"/>
          <w:bCs/>
          <w:color w:val="auto"/>
          <w:sz w:val="36"/>
          <w:szCs w:val="36"/>
        </w:rPr>
      </w:pPr>
    </w:p>
    <w:p>
      <w:pPr>
        <w:widowControl/>
        <w:jc w:val="center"/>
        <w:rPr>
          <w:rFonts w:asciiTheme="minorEastAsia" w:hAnsiTheme="minorEastAsia" w:eastAsiaTheme="minorEastAsia"/>
          <w:bCs/>
          <w:color w:val="auto"/>
          <w:sz w:val="36"/>
          <w:szCs w:val="36"/>
        </w:rPr>
      </w:pPr>
      <w:r>
        <w:rPr>
          <w:rFonts w:hint="eastAsia" w:asciiTheme="minorEastAsia" w:hAnsiTheme="minorEastAsia" w:eastAsiaTheme="minorEastAsia"/>
          <w:bCs/>
          <w:color w:val="auto"/>
          <w:sz w:val="36"/>
          <w:szCs w:val="36"/>
        </w:rPr>
        <w:t>第六章投标文件格式</w:t>
      </w:r>
    </w:p>
    <w:p>
      <w:pPr>
        <w:spacing w:line="500" w:lineRule="exact"/>
        <w:jc w:val="center"/>
        <w:rPr>
          <w:rFonts w:asciiTheme="minorEastAsia" w:hAnsiTheme="minorEastAsia" w:eastAsiaTheme="minorEastAsia"/>
          <w:b/>
          <w:color w:val="auto"/>
          <w:sz w:val="24"/>
          <w:szCs w:val="24"/>
        </w:rPr>
      </w:pPr>
    </w:p>
    <w:p>
      <w:pPr>
        <w:spacing w:line="720" w:lineRule="auto"/>
        <w:jc w:val="center"/>
        <w:rPr>
          <w:rFonts w:asciiTheme="minorEastAsia" w:hAnsiTheme="minorEastAsia" w:eastAsiaTheme="minorEastAsia"/>
          <w:b/>
          <w:color w:val="auto"/>
          <w:sz w:val="72"/>
          <w:szCs w:val="72"/>
        </w:rPr>
      </w:pPr>
      <w:r>
        <w:rPr>
          <w:rFonts w:hint="eastAsia" w:asciiTheme="minorEastAsia" w:hAnsiTheme="minorEastAsia" w:eastAsiaTheme="minorEastAsia"/>
          <w:b/>
          <w:color w:val="auto"/>
          <w:sz w:val="72"/>
          <w:szCs w:val="72"/>
        </w:rPr>
        <w:t>投标文件</w:t>
      </w:r>
    </w:p>
    <w:p>
      <w:pPr>
        <w:spacing w:line="500" w:lineRule="exact"/>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（正或副本）</w:t>
      </w: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jc w:val="center"/>
        <w:rPr>
          <w:rFonts w:asciiTheme="minorEastAsia" w:hAnsiTheme="minorEastAsia" w:eastAsiaTheme="minorEastAsia"/>
          <w:b/>
          <w:color w:val="auto"/>
          <w:sz w:val="24"/>
          <w:szCs w:val="24"/>
        </w:rPr>
      </w:pPr>
    </w:p>
    <w:p>
      <w:pPr>
        <w:spacing w:line="500" w:lineRule="exact"/>
        <w:ind w:firstLine="1084" w:firstLineChars="300"/>
        <w:rPr>
          <w:rFonts w:asciiTheme="minorEastAsia" w:hAnsiTheme="minorEastAsia" w:eastAsiaTheme="minorEastAsia"/>
          <w:b/>
          <w:color w:val="auto"/>
          <w:sz w:val="36"/>
          <w:szCs w:val="36"/>
          <w:u w:val="single"/>
        </w:rPr>
      </w:pPr>
      <w:r>
        <w:rPr>
          <w:rFonts w:hint="eastAsia" w:asciiTheme="minorEastAsia" w:hAnsiTheme="minorEastAsia" w:eastAsiaTheme="minorEastAsia"/>
          <w:b/>
          <w:color w:val="auto"/>
          <w:sz w:val="36"/>
          <w:szCs w:val="36"/>
        </w:rPr>
        <w:t>项目编号：</w:t>
      </w:r>
    </w:p>
    <w:p>
      <w:pPr>
        <w:spacing w:line="500" w:lineRule="exact"/>
        <w:ind w:firstLine="1084" w:firstLineChars="300"/>
        <w:rPr>
          <w:rFonts w:asciiTheme="minorEastAsia" w:hAnsiTheme="minorEastAsia" w:eastAsiaTheme="minorEastAsia"/>
          <w:b/>
          <w:color w:val="auto"/>
          <w:sz w:val="36"/>
          <w:szCs w:val="36"/>
          <w:u w:val="single"/>
        </w:rPr>
      </w:pPr>
    </w:p>
    <w:p>
      <w:pPr>
        <w:spacing w:line="500" w:lineRule="exact"/>
        <w:ind w:firstLine="1084" w:firstLineChars="300"/>
        <w:rPr>
          <w:rFonts w:asciiTheme="minorEastAsia" w:hAnsiTheme="minorEastAsia" w:eastAsiaTheme="minorEastAsia"/>
          <w:b/>
          <w:color w:val="auto"/>
          <w:sz w:val="36"/>
          <w:szCs w:val="36"/>
          <w:u w:val="single"/>
        </w:rPr>
      </w:pPr>
      <w:r>
        <w:rPr>
          <w:rFonts w:hint="eastAsia" w:asciiTheme="minorEastAsia" w:hAnsiTheme="minorEastAsia" w:eastAsiaTheme="minorEastAsia"/>
          <w:b/>
          <w:color w:val="auto"/>
          <w:sz w:val="36"/>
          <w:szCs w:val="36"/>
        </w:rPr>
        <w:t>项目名称：</w:t>
      </w:r>
    </w:p>
    <w:p>
      <w:pPr>
        <w:spacing w:line="500" w:lineRule="exact"/>
        <w:ind w:firstLine="1084" w:firstLineChars="300"/>
        <w:rPr>
          <w:rFonts w:asciiTheme="minorEastAsia" w:hAnsiTheme="minorEastAsia" w:eastAsiaTheme="minorEastAsia"/>
          <w:b/>
          <w:color w:val="auto"/>
          <w:sz w:val="36"/>
          <w:szCs w:val="36"/>
          <w:u w:val="single"/>
        </w:rPr>
      </w:pPr>
    </w:p>
    <w:p>
      <w:pPr>
        <w:spacing w:line="500" w:lineRule="exact"/>
        <w:ind w:firstLine="1084" w:firstLineChars="300"/>
        <w:rPr>
          <w:rFonts w:asciiTheme="minorEastAsia" w:hAnsiTheme="minorEastAsia" w:eastAsiaTheme="minorEastAsia"/>
          <w:b/>
          <w:color w:val="auto"/>
          <w:sz w:val="36"/>
          <w:szCs w:val="36"/>
          <w:u w:val="single"/>
        </w:rPr>
      </w:pPr>
      <w:r>
        <w:rPr>
          <w:rFonts w:hint="eastAsia" w:asciiTheme="minorEastAsia" w:hAnsiTheme="minorEastAsia" w:eastAsiaTheme="minorEastAsia"/>
          <w:b/>
          <w:color w:val="auto"/>
          <w:sz w:val="36"/>
          <w:szCs w:val="36"/>
        </w:rPr>
        <w:t>投标人名称：</w:t>
      </w:r>
    </w:p>
    <w:p>
      <w:pPr>
        <w:spacing w:line="500" w:lineRule="exact"/>
        <w:rPr>
          <w:rFonts w:asciiTheme="minorEastAsia" w:hAnsiTheme="minorEastAsia" w:eastAsiaTheme="minorEastAsia"/>
          <w:b/>
          <w:color w:val="auto"/>
          <w:sz w:val="36"/>
          <w:szCs w:val="36"/>
          <w:u w:val="single"/>
        </w:rPr>
      </w:pPr>
    </w:p>
    <w:p>
      <w:pPr>
        <w:spacing w:line="500" w:lineRule="exact"/>
        <w:ind w:firstLine="1084" w:firstLineChars="300"/>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日  期：</w:t>
      </w:r>
    </w:p>
    <w:p>
      <w:pPr>
        <w:spacing w:line="500" w:lineRule="exact"/>
        <w:jc w:val="center"/>
        <w:rPr>
          <w:rFonts w:asciiTheme="minorEastAsia" w:hAnsiTheme="minorEastAsia" w:eastAsiaTheme="minorEastAsia"/>
          <w:b/>
          <w:bCs/>
          <w:color w:val="auto"/>
          <w:sz w:val="36"/>
          <w:szCs w:val="36"/>
        </w:rPr>
      </w:pPr>
    </w:p>
    <w:p>
      <w:pPr>
        <w:spacing w:line="500" w:lineRule="exact"/>
        <w:ind w:firstLine="480" w:firstLineChars="200"/>
        <w:rPr>
          <w:rFonts w:asciiTheme="minorEastAsia" w:hAnsiTheme="minorEastAsia" w:eastAsiaTheme="minorEastAsia"/>
          <w:color w:val="auto"/>
          <w:sz w:val="24"/>
          <w:szCs w:val="24"/>
        </w:rPr>
      </w:pPr>
    </w:p>
    <w:p>
      <w:pPr>
        <w:spacing w:line="500" w:lineRule="exact"/>
        <w:ind w:firstLine="480" w:firstLineChars="200"/>
        <w:rPr>
          <w:rFonts w:asciiTheme="minorEastAsia" w:hAnsiTheme="minorEastAsia" w:eastAsiaTheme="minorEastAsia"/>
          <w:color w:val="auto"/>
          <w:sz w:val="24"/>
          <w:szCs w:val="24"/>
        </w:rPr>
      </w:pPr>
    </w:p>
    <w:p>
      <w:pPr>
        <w:spacing w:line="500" w:lineRule="exact"/>
        <w:jc w:val="center"/>
        <w:rPr>
          <w:rFonts w:ascii="宋体"/>
          <w:b/>
          <w:color w:val="auto"/>
          <w:sz w:val="24"/>
          <w:szCs w:val="24"/>
        </w:rPr>
      </w:pPr>
      <w:r>
        <w:rPr>
          <w:rFonts w:ascii="宋体"/>
          <w:color w:val="auto"/>
          <w:sz w:val="24"/>
          <w:szCs w:val="24"/>
        </w:rPr>
        <w:br w:type="page"/>
      </w:r>
      <w:r>
        <w:rPr>
          <w:rFonts w:hint="eastAsia" w:ascii="宋体" w:hAnsi="宋体"/>
          <w:b/>
          <w:color w:val="auto"/>
          <w:sz w:val="24"/>
          <w:szCs w:val="24"/>
        </w:rPr>
        <w:t>评分索引表</w:t>
      </w:r>
    </w:p>
    <w:tbl>
      <w:tblPr>
        <w:tblStyle w:val="37"/>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jc w:val="center"/>
              <w:rPr>
                <w:rFonts w:ascii="宋体"/>
                <w:b/>
                <w:bCs/>
                <w:color w:val="auto"/>
                <w:kern w:val="2"/>
                <w:szCs w:val="24"/>
                <w:lang w:eastAsia="zh-CN"/>
              </w:rPr>
            </w:pPr>
            <w:r>
              <w:rPr>
                <w:rFonts w:hint="eastAsia" w:ascii="宋体" w:hAnsi="宋体"/>
                <w:b/>
                <w:color w:val="auto"/>
                <w:kern w:val="2"/>
                <w:szCs w:val="24"/>
              </w:rPr>
              <w:t>评分项目</w:t>
            </w:r>
          </w:p>
        </w:tc>
        <w:tc>
          <w:tcPr>
            <w:tcW w:w="3570" w:type="dxa"/>
          </w:tcPr>
          <w:p>
            <w:pPr>
              <w:spacing w:line="500" w:lineRule="exact"/>
              <w:jc w:val="center"/>
              <w:rPr>
                <w:rFonts w:ascii="宋体"/>
                <w:b/>
                <w:color w:val="auto"/>
                <w:sz w:val="24"/>
                <w:szCs w:val="24"/>
              </w:rPr>
            </w:pPr>
            <w:r>
              <w:rPr>
                <w:rFonts w:hint="eastAsia" w:ascii="宋体" w:hAnsi="宋体"/>
                <w:b/>
                <w:color w:val="auto"/>
                <w:kern w:val="0"/>
                <w:sz w:val="24"/>
                <w:szCs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104"/>
              <w:shd w:val="clear" w:color="auto" w:fill="FFFFFF"/>
              <w:spacing w:line="500" w:lineRule="exact"/>
              <w:ind w:left="420"/>
              <w:jc w:val="both"/>
              <w:rPr>
                <w:rFonts w:ascii="宋体"/>
                <w:b/>
                <w:color w:val="auto"/>
                <w:kern w:val="2"/>
                <w:szCs w:val="24"/>
                <w:lang w:eastAsia="zh-CN"/>
              </w:rPr>
            </w:pPr>
          </w:p>
        </w:tc>
        <w:tc>
          <w:tcPr>
            <w:tcW w:w="3570" w:type="dxa"/>
          </w:tcPr>
          <w:p>
            <w:pPr>
              <w:spacing w:line="500" w:lineRule="exact"/>
              <w:rPr>
                <w:rFonts w:ascii="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pStyle w:val="104"/>
              <w:shd w:val="clear" w:color="auto" w:fill="FFFFFF"/>
              <w:spacing w:line="500" w:lineRule="exact"/>
              <w:ind w:left="420"/>
              <w:jc w:val="both"/>
              <w:rPr>
                <w:rFonts w:ascii="宋体"/>
                <w:color w:val="auto"/>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104"/>
              <w:shd w:val="clear" w:color="auto" w:fill="FFFFFF"/>
              <w:spacing w:line="500" w:lineRule="exact"/>
              <w:ind w:left="420"/>
              <w:jc w:val="both"/>
              <w:rPr>
                <w:rFonts w:ascii="宋体"/>
                <w:color w:val="auto"/>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104"/>
              <w:shd w:val="clear" w:color="auto" w:fill="FFFFFF"/>
              <w:spacing w:line="500" w:lineRule="exact"/>
              <w:ind w:left="420"/>
              <w:jc w:val="both"/>
              <w:rPr>
                <w:rFonts w:ascii="宋体"/>
                <w:b/>
                <w:color w:val="auto"/>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b/>
                <w:bCs/>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104"/>
              <w:shd w:val="clear" w:color="auto" w:fill="FFFFFF"/>
              <w:spacing w:line="500" w:lineRule="exact"/>
              <w:ind w:left="42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104"/>
              <w:shd w:val="clear" w:color="auto" w:fill="FFFFFF"/>
              <w:spacing w:line="500" w:lineRule="exact"/>
              <w:ind w:left="420"/>
              <w:rPr>
                <w:rFonts w:ascii="宋体"/>
                <w:b/>
                <w:bCs/>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104"/>
              <w:shd w:val="clear" w:color="auto" w:fill="FFFFFF"/>
              <w:spacing w:line="500" w:lineRule="exact"/>
              <w:ind w:left="420"/>
              <w:jc w:val="both"/>
              <w:rPr>
                <w:rFonts w:ascii="宋体"/>
                <w:b/>
                <w:color w:val="auto"/>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104"/>
              <w:shd w:val="clear" w:color="auto" w:fill="FFFFFF"/>
              <w:spacing w:line="500" w:lineRule="exact"/>
              <w:ind w:left="0" w:firstLine="480" w:firstLineChars="200"/>
              <w:rPr>
                <w:rFonts w:ascii="宋体"/>
                <w:color w:val="auto"/>
                <w:kern w:val="2"/>
                <w:szCs w:val="24"/>
                <w:lang w:eastAsia="zh-CN"/>
              </w:rPr>
            </w:pPr>
          </w:p>
        </w:tc>
        <w:tc>
          <w:tcPr>
            <w:tcW w:w="3570" w:type="dxa"/>
          </w:tcPr>
          <w:p>
            <w:pPr>
              <w:spacing w:line="50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104"/>
              <w:shd w:val="clear" w:color="auto" w:fill="FFFFFF"/>
              <w:spacing w:line="500" w:lineRule="exact"/>
              <w:ind w:left="0" w:firstLine="480" w:firstLineChars="200"/>
              <w:rPr>
                <w:rFonts w:ascii="宋体"/>
                <w:color w:val="auto"/>
                <w:kern w:val="2"/>
                <w:szCs w:val="24"/>
                <w:lang w:eastAsia="zh-CN"/>
              </w:rPr>
            </w:pPr>
          </w:p>
        </w:tc>
        <w:tc>
          <w:tcPr>
            <w:tcW w:w="3570" w:type="dxa"/>
          </w:tcPr>
          <w:p>
            <w:pPr>
              <w:spacing w:line="500" w:lineRule="exact"/>
              <w:rPr>
                <w:rFonts w:ascii="宋体"/>
                <w:color w:val="auto"/>
                <w:sz w:val="24"/>
                <w:szCs w:val="24"/>
              </w:rPr>
            </w:pPr>
          </w:p>
        </w:tc>
      </w:tr>
    </w:tbl>
    <w:p>
      <w:pPr>
        <w:spacing w:line="500" w:lineRule="exact"/>
        <w:rPr>
          <w:rFonts w:ascii="宋体"/>
          <w:color w:val="auto"/>
          <w:sz w:val="24"/>
          <w:szCs w:val="24"/>
        </w:rPr>
      </w:pPr>
    </w:p>
    <w:p>
      <w:pPr>
        <w:widowControl/>
        <w:jc w:val="left"/>
        <w:rPr>
          <w:rFonts w:ascii="宋体"/>
          <w:color w:val="auto"/>
          <w:sz w:val="24"/>
          <w:szCs w:val="24"/>
        </w:rPr>
      </w:pPr>
      <w:r>
        <w:rPr>
          <w:rFonts w:ascii="宋体"/>
          <w:color w:val="auto"/>
          <w:sz w:val="24"/>
          <w:szCs w:val="24"/>
        </w:rPr>
        <w:br w:type="page"/>
      </w:r>
    </w:p>
    <w:p>
      <w:pPr>
        <w:spacing w:line="500" w:lineRule="exact"/>
        <w:jc w:val="center"/>
        <w:rPr>
          <w:rFonts w:ascii="宋体"/>
          <w:b/>
          <w:bCs/>
          <w:color w:val="auto"/>
          <w:sz w:val="40"/>
          <w:szCs w:val="40"/>
        </w:rPr>
      </w:pPr>
      <w:r>
        <w:rPr>
          <w:rFonts w:hint="eastAsia" w:ascii="宋体" w:hAnsi="宋体"/>
          <w:b/>
          <w:bCs/>
          <w:color w:val="auto"/>
          <w:sz w:val="40"/>
          <w:szCs w:val="40"/>
        </w:rPr>
        <w:t>投标主要文件目录</w:t>
      </w:r>
    </w:p>
    <w:p>
      <w:pPr>
        <w:numPr>
          <w:ilvl w:val="0"/>
          <w:numId w:val="25"/>
        </w:numPr>
        <w:spacing w:line="660" w:lineRule="exact"/>
        <w:ind w:firstLine="560" w:firstLineChars="200"/>
        <w:rPr>
          <w:rFonts w:hint="eastAsia" w:ascii="宋体" w:hAnsi="宋体"/>
          <w:color w:val="auto"/>
          <w:sz w:val="28"/>
          <w:szCs w:val="28"/>
        </w:rPr>
      </w:pPr>
      <w:r>
        <w:rPr>
          <w:rFonts w:hint="eastAsia" w:ascii="宋体" w:hAnsi="宋体"/>
          <w:color w:val="auto"/>
          <w:sz w:val="28"/>
          <w:szCs w:val="28"/>
        </w:rPr>
        <w:t>资信证明文件要求</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二、资格性审查响应对照表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三、符合性检查响应对照表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四、投标函</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五、开标一览表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六、投标配置与分项报价表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七、技术参数响应及偏离表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八、商务条款响应及偏离表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九、拟投入本项目人员一览表</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十、实施方案</w:t>
      </w:r>
    </w:p>
    <w:p>
      <w:pPr>
        <w:pStyle w:val="2"/>
        <w:numPr>
          <w:ilvl w:val="0"/>
          <w:numId w:val="0"/>
        </w:numPr>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十一、盐城市盐都区政府采购事前信用承诺书</w:t>
      </w:r>
    </w:p>
    <w:p>
      <w:pPr>
        <w:spacing w:line="660" w:lineRule="exact"/>
        <w:ind w:firstLine="560" w:firstLineChars="200"/>
        <w:rPr>
          <w:color w:val="auto"/>
          <w:sz w:val="28"/>
          <w:szCs w:val="28"/>
        </w:rPr>
      </w:pPr>
    </w:p>
    <w:p>
      <w:pPr>
        <w:spacing w:line="660" w:lineRule="exact"/>
        <w:ind w:firstLine="560" w:firstLineChars="200"/>
        <w:rPr>
          <w:rFonts w:ascii="宋体" w:hAnsi="宋体"/>
          <w:color w:val="auto"/>
          <w:sz w:val="28"/>
          <w:szCs w:val="28"/>
        </w:rPr>
      </w:pPr>
    </w:p>
    <w:p>
      <w:pPr>
        <w:spacing w:line="660" w:lineRule="exact"/>
        <w:ind w:firstLine="560" w:firstLineChars="200"/>
        <w:rPr>
          <w:rFonts w:ascii="宋体"/>
          <w:color w:val="auto"/>
          <w:sz w:val="28"/>
          <w:szCs w:val="28"/>
        </w:rPr>
      </w:pPr>
    </w:p>
    <w:p>
      <w:pPr>
        <w:widowControl/>
        <w:jc w:val="left"/>
        <w:rPr>
          <w:rFonts w:ascii="宋体"/>
          <w:b/>
          <w:color w:val="auto"/>
          <w:sz w:val="36"/>
          <w:szCs w:val="36"/>
        </w:rPr>
      </w:pPr>
    </w:p>
    <w:p>
      <w:pPr>
        <w:widowControl/>
        <w:jc w:val="left"/>
        <w:rPr>
          <w:rFonts w:ascii="宋体"/>
          <w:b/>
          <w:color w:val="auto"/>
          <w:sz w:val="36"/>
          <w:szCs w:val="36"/>
        </w:rPr>
      </w:pPr>
    </w:p>
    <w:p>
      <w:pPr>
        <w:widowControl/>
        <w:jc w:val="left"/>
        <w:rPr>
          <w:rFonts w:ascii="宋体"/>
          <w:b/>
          <w:color w:val="auto"/>
          <w:sz w:val="36"/>
          <w:szCs w:val="36"/>
        </w:rPr>
      </w:pPr>
    </w:p>
    <w:p>
      <w:pPr>
        <w:widowControl/>
        <w:jc w:val="left"/>
        <w:rPr>
          <w:rFonts w:ascii="宋体"/>
          <w:b/>
          <w:color w:val="auto"/>
          <w:sz w:val="36"/>
          <w:szCs w:val="36"/>
        </w:rPr>
      </w:pPr>
    </w:p>
    <w:p>
      <w:pPr>
        <w:widowControl/>
        <w:jc w:val="left"/>
        <w:rPr>
          <w:rFonts w:ascii="宋体"/>
          <w:b/>
          <w:color w:val="auto"/>
          <w:sz w:val="36"/>
          <w:szCs w:val="36"/>
        </w:rPr>
      </w:pPr>
    </w:p>
    <w:p>
      <w:pPr>
        <w:pStyle w:val="2"/>
      </w:pPr>
    </w:p>
    <w:p>
      <w:pPr>
        <w:widowControl/>
        <w:jc w:val="left"/>
        <w:rPr>
          <w:rFonts w:ascii="宋体"/>
          <w:b/>
          <w:color w:val="auto"/>
          <w:sz w:val="36"/>
          <w:szCs w:val="36"/>
        </w:rPr>
      </w:pPr>
    </w:p>
    <w:bookmarkEnd w:id="160"/>
    <w:bookmarkEnd w:id="161"/>
    <w:bookmarkEnd w:id="162"/>
    <w:p>
      <w:pPr>
        <w:snapToGrid w:val="0"/>
        <w:spacing w:before="50" w:after="50" w:line="500" w:lineRule="exact"/>
        <w:jc w:val="center"/>
        <w:rPr>
          <w:rFonts w:ascii="宋体"/>
          <w:b/>
          <w:bCs/>
          <w:color w:val="auto"/>
          <w:sz w:val="36"/>
          <w:szCs w:val="36"/>
        </w:rPr>
      </w:pPr>
      <w:r>
        <w:rPr>
          <w:rFonts w:hint="eastAsia" w:ascii="宋体" w:hAnsi="宋体"/>
          <w:b/>
          <w:bCs/>
          <w:color w:val="auto"/>
          <w:sz w:val="36"/>
          <w:szCs w:val="36"/>
        </w:rPr>
        <w:t>一、资格信誉等证明文件要求</w:t>
      </w:r>
    </w:p>
    <w:p>
      <w:pPr>
        <w:snapToGrid w:val="0"/>
        <w:spacing w:before="50" w:after="50" w:line="500" w:lineRule="exact"/>
        <w:rPr>
          <w:rFonts w:ascii="宋体"/>
          <w:i/>
          <w:color w:val="auto"/>
          <w:sz w:val="24"/>
          <w:szCs w:val="24"/>
          <w:u w:val="single"/>
        </w:rPr>
      </w:pPr>
    </w:p>
    <w:p>
      <w:pPr>
        <w:snapToGrid w:val="0"/>
        <w:spacing w:before="50" w:after="50" w:line="500" w:lineRule="exact"/>
        <w:ind w:firstLine="482" w:firstLineChars="200"/>
        <w:rPr>
          <w:rFonts w:ascii="宋体"/>
          <w:color w:val="auto"/>
          <w:sz w:val="24"/>
          <w:szCs w:val="24"/>
        </w:rPr>
      </w:pPr>
      <w:r>
        <w:rPr>
          <w:rFonts w:ascii="宋体" w:hAnsi="宋体"/>
          <w:b/>
          <w:bCs/>
          <w:color w:val="auto"/>
          <w:sz w:val="24"/>
          <w:szCs w:val="24"/>
        </w:rPr>
        <w:t>1</w:t>
      </w:r>
      <w:r>
        <w:rPr>
          <w:rFonts w:hint="eastAsia" w:ascii="宋体" w:hAnsi="宋体"/>
          <w:b/>
          <w:bCs/>
          <w:color w:val="auto"/>
          <w:sz w:val="24"/>
          <w:szCs w:val="24"/>
        </w:rPr>
        <w:t>、实质性资格证明文件目录</w:t>
      </w:r>
    </w:p>
    <w:p>
      <w:pPr>
        <w:snapToGrid w:val="0"/>
        <w:spacing w:line="500" w:lineRule="exact"/>
        <w:ind w:firstLine="482" w:firstLineChars="200"/>
        <w:rPr>
          <w:rFonts w:ascii="宋体" w:hAnsi="宋体" w:cs="Arial"/>
          <w:b/>
          <w:color w:val="auto"/>
          <w:sz w:val="24"/>
          <w:szCs w:val="24"/>
          <w:u w:val="single"/>
        </w:rPr>
      </w:pPr>
      <w:r>
        <w:rPr>
          <w:rFonts w:hint="eastAsia" w:ascii="宋体" w:hAnsi="宋体"/>
          <w:b/>
          <w:color w:val="auto"/>
          <w:sz w:val="24"/>
          <w:szCs w:val="24"/>
          <w:u w:val="single"/>
        </w:rPr>
        <w:t>文件</w:t>
      </w:r>
      <w:r>
        <w:rPr>
          <w:rFonts w:ascii="宋体" w:hAnsi="宋体"/>
          <w:b/>
          <w:color w:val="auto"/>
          <w:sz w:val="24"/>
          <w:szCs w:val="24"/>
          <w:u w:val="single"/>
        </w:rPr>
        <w:t>1</w:t>
      </w:r>
      <w:r>
        <w:rPr>
          <w:rFonts w:hint="eastAsia" w:ascii="宋体" w:hAnsi="宋体" w:cs="Arial"/>
          <w:b/>
          <w:color w:val="auto"/>
          <w:sz w:val="24"/>
          <w:szCs w:val="24"/>
          <w:u w:val="single"/>
        </w:rPr>
        <w:t>法人或者其他组织的营业执照等证明文件，自然人的身份证明（复印件）</w:t>
      </w:r>
    </w:p>
    <w:p>
      <w:pPr>
        <w:snapToGrid w:val="0"/>
        <w:spacing w:before="50" w:afterLines="50" w:line="500" w:lineRule="exact"/>
        <w:ind w:firstLine="482" w:firstLineChars="200"/>
        <w:jc w:val="left"/>
        <w:rPr>
          <w:rFonts w:ascii="宋体"/>
          <w:b/>
          <w:color w:val="auto"/>
          <w:sz w:val="24"/>
          <w:szCs w:val="24"/>
          <w:u w:val="single"/>
        </w:rPr>
      </w:pPr>
      <w:r>
        <w:rPr>
          <w:rFonts w:hint="eastAsia" w:ascii="宋体" w:hAnsi="宋体"/>
          <w:b/>
          <w:color w:val="auto"/>
          <w:sz w:val="24"/>
          <w:szCs w:val="24"/>
          <w:u w:val="single"/>
        </w:rPr>
        <w:t>文件2上一年度财务状况报表（复印件，成立不满一年不需提供）</w:t>
      </w:r>
    </w:p>
    <w:p>
      <w:pPr>
        <w:snapToGrid w:val="0"/>
        <w:spacing w:line="500" w:lineRule="exact"/>
        <w:ind w:firstLine="482" w:firstLineChars="200"/>
        <w:rPr>
          <w:rFonts w:ascii="宋体" w:cs="Arial"/>
          <w:b/>
          <w:color w:val="auto"/>
          <w:sz w:val="24"/>
          <w:szCs w:val="24"/>
          <w:u w:val="single"/>
        </w:rPr>
      </w:pPr>
      <w:r>
        <w:rPr>
          <w:rFonts w:hint="eastAsia" w:ascii="宋体" w:hAnsi="宋体"/>
          <w:b/>
          <w:color w:val="auto"/>
          <w:sz w:val="24"/>
          <w:szCs w:val="24"/>
          <w:u w:val="single"/>
        </w:rPr>
        <w:t>文件3</w:t>
      </w:r>
      <w:r>
        <w:rPr>
          <w:rFonts w:hint="eastAsia" w:ascii="宋体" w:hAnsi="宋体" w:cs="Arial"/>
          <w:b/>
          <w:color w:val="auto"/>
          <w:sz w:val="24"/>
          <w:szCs w:val="24"/>
          <w:u w:val="single"/>
        </w:rPr>
        <w:t>依法缴纳税收和社会保障资金的相关材料（清晰可辨的复印件加盖企业公章）</w:t>
      </w:r>
    </w:p>
    <w:p>
      <w:pPr>
        <w:snapToGrid w:val="0"/>
        <w:spacing w:before="50" w:afterLines="50" w:line="500" w:lineRule="exact"/>
        <w:ind w:firstLine="482" w:firstLineChars="200"/>
        <w:jc w:val="left"/>
        <w:rPr>
          <w:rFonts w:ascii="宋体"/>
          <w:b/>
          <w:color w:val="auto"/>
          <w:sz w:val="24"/>
          <w:szCs w:val="24"/>
          <w:u w:val="single"/>
        </w:rPr>
      </w:pPr>
      <w:r>
        <w:rPr>
          <w:rFonts w:hint="eastAsia" w:ascii="宋体" w:hAnsi="宋体"/>
          <w:b/>
          <w:color w:val="auto"/>
          <w:sz w:val="24"/>
          <w:szCs w:val="24"/>
          <w:u w:val="single"/>
        </w:rPr>
        <w:t>文件4</w:t>
      </w:r>
      <w:r>
        <w:rPr>
          <w:rFonts w:hint="eastAsia" w:ascii="宋体" w:hAnsi="宋体" w:cs="Arial"/>
          <w:b/>
          <w:color w:val="auto"/>
          <w:sz w:val="24"/>
          <w:szCs w:val="24"/>
          <w:u w:val="single"/>
        </w:rPr>
        <w:t>具备履行合同所必需的设备和专业技术能力证明材料（原件,格式见附表）</w:t>
      </w:r>
    </w:p>
    <w:p>
      <w:pPr>
        <w:snapToGrid w:val="0"/>
        <w:spacing w:line="500" w:lineRule="exact"/>
        <w:ind w:firstLine="482" w:firstLineChars="200"/>
        <w:rPr>
          <w:rFonts w:ascii="宋体" w:cs="Arial"/>
          <w:b/>
          <w:color w:val="auto"/>
          <w:sz w:val="24"/>
          <w:szCs w:val="24"/>
          <w:u w:val="single"/>
        </w:rPr>
      </w:pPr>
      <w:r>
        <w:rPr>
          <w:rFonts w:hint="eastAsia" w:ascii="宋体" w:hAnsi="宋体"/>
          <w:b/>
          <w:color w:val="auto"/>
          <w:sz w:val="24"/>
          <w:szCs w:val="24"/>
          <w:u w:val="single"/>
        </w:rPr>
        <w:t>文件5</w:t>
      </w:r>
      <w:r>
        <w:rPr>
          <w:rFonts w:hint="eastAsia" w:ascii="宋体" w:hAnsi="宋体" w:cs="Arial"/>
          <w:b/>
          <w:color w:val="auto"/>
          <w:sz w:val="24"/>
          <w:szCs w:val="24"/>
          <w:u w:val="single"/>
        </w:rPr>
        <w:t>参加政府采购活动前 3 年内在经营活动中没有重大违法记录的书面声明（原件,格式见附表）</w:t>
      </w:r>
    </w:p>
    <w:p>
      <w:pPr>
        <w:snapToGrid w:val="0"/>
        <w:spacing w:before="50" w:afterLines="50" w:line="500" w:lineRule="exact"/>
        <w:ind w:firstLine="482" w:firstLineChars="200"/>
        <w:jc w:val="left"/>
        <w:rPr>
          <w:rFonts w:ascii="宋体" w:hAnsi="宋体" w:cs="Arial"/>
          <w:b/>
          <w:color w:val="auto"/>
          <w:sz w:val="24"/>
          <w:szCs w:val="24"/>
          <w:u w:val="single"/>
        </w:rPr>
      </w:pPr>
      <w:r>
        <w:rPr>
          <w:rFonts w:hint="eastAsia" w:ascii="宋体" w:hAnsi="宋体" w:cs="Arial"/>
          <w:b/>
          <w:color w:val="auto"/>
          <w:sz w:val="24"/>
          <w:szCs w:val="24"/>
          <w:u w:val="single"/>
        </w:rPr>
        <w:t>文件6 法人授权书（原件,格式见附表）（如有）</w:t>
      </w:r>
    </w:p>
    <w:p>
      <w:pPr>
        <w:snapToGrid w:val="0"/>
        <w:spacing w:before="50" w:afterLines="50" w:line="500" w:lineRule="exact"/>
        <w:ind w:firstLine="482"/>
        <w:jc w:val="left"/>
        <w:rPr>
          <w:rFonts w:ascii="宋体" w:hAnsi="宋体" w:cs="Arial"/>
          <w:b/>
          <w:color w:val="000000" w:themeColor="text1"/>
          <w:sz w:val="24"/>
          <w:szCs w:val="24"/>
          <w:u w:val="single"/>
          <w14:textFill>
            <w14:solidFill>
              <w14:schemeClr w14:val="tx1"/>
            </w14:solidFill>
          </w14:textFill>
        </w:rPr>
      </w:pPr>
      <w:r>
        <w:rPr>
          <w:rFonts w:hint="eastAsia" w:ascii="宋体" w:hAnsi="宋体" w:cs="Arial"/>
          <w:b/>
          <w:color w:val="000000" w:themeColor="text1"/>
          <w:sz w:val="24"/>
          <w:szCs w:val="24"/>
          <w:u w:val="single"/>
          <w14:textFill>
            <w14:solidFill>
              <w14:schemeClr w14:val="tx1"/>
            </w14:solidFill>
          </w14:textFill>
        </w:rPr>
        <w:t>文件</w:t>
      </w:r>
      <w:r>
        <w:rPr>
          <w:rFonts w:ascii="宋体" w:hAnsi="宋体" w:cs="Arial"/>
          <w:b/>
          <w:color w:val="000000" w:themeColor="text1"/>
          <w:sz w:val="24"/>
          <w:szCs w:val="24"/>
          <w:u w:val="single"/>
          <w14:textFill>
            <w14:solidFill>
              <w14:schemeClr w14:val="tx1"/>
            </w14:solidFill>
          </w14:textFill>
        </w:rPr>
        <w:t>7</w:t>
      </w:r>
      <w:r>
        <w:rPr>
          <w:rFonts w:hint="eastAsia" w:ascii="宋体" w:hAnsi="宋体" w:cs="Arial"/>
          <w:b/>
          <w:color w:val="000000" w:themeColor="text1"/>
          <w:sz w:val="24"/>
          <w:szCs w:val="24"/>
          <w:u w:val="single"/>
          <w14:textFill>
            <w14:solidFill>
              <w14:schemeClr w14:val="tx1"/>
            </w14:solidFill>
          </w14:textFill>
        </w:rPr>
        <w:t>招标文件中规定要求提供的证明材料和投标人认为需要提供的其他材料</w:t>
      </w:r>
    </w:p>
    <w:p>
      <w:pPr>
        <w:snapToGrid w:val="0"/>
        <w:spacing w:before="50" w:afterLines="50"/>
        <w:ind w:firstLine="361" w:firstLineChars="150"/>
        <w:jc w:val="left"/>
        <w:rPr>
          <w:rFonts w:ascii="宋体" w:hAnsi="宋体"/>
          <w:b/>
          <w:color w:val="000000" w:themeColor="text1"/>
          <w:sz w:val="24"/>
          <w:szCs w:val="24"/>
          <w14:textFill>
            <w14:solidFill>
              <w14:schemeClr w14:val="tx1"/>
            </w14:solidFill>
          </w14:textFill>
        </w:rPr>
      </w:pPr>
    </w:p>
    <w:p>
      <w:pPr>
        <w:snapToGrid w:val="0"/>
        <w:spacing w:before="50" w:afterLines="50" w:line="500" w:lineRule="exact"/>
        <w:ind w:firstLine="482"/>
        <w:jc w:val="left"/>
        <w:rPr>
          <w:rFonts w:ascii="宋体" w:hAnsi="宋体" w:cs="Arial"/>
          <w:b/>
          <w:color w:val="auto"/>
          <w:sz w:val="24"/>
          <w:szCs w:val="24"/>
          <w:u w:val="single"/>
        </w:rPr>
      </w:pPr>
    </w:p>
    <w:p>
      <w:pPr>
        <w:snapToGrid w:val="0"/>
        <w:spacing w:before="50" w:afterLines="50"/>
        <w:ind w:firstLine="361" w:firstLineChars="150"/>
        <w:jc w:val="left"/>
        <w:rPr>
          <w:rFonts w:ascii="宋体" w:hAnsi="宋体"/>
          <w:b/>
          <w:color w:val="auto"/>
          <w:sz w:val="24"/>
          <w:szCs w:val="24"/>
        </w:rPr>
      </w:pPr>
    </w:p>
    <w:p>
      <w:pPr>
        <w:pStyle w:val="5"/>
        <w:spacing w:line="500" w:lineRule="exact"/>
        <w:ind w:firstLine="0"/>
        <w:jc w:val="center"/>
        <w:rPr>
          <w:rFonts w:ascii="宋体"/>
          <w:b/>
          <w:color w:val="auto"/>
          <w:sz w:val="24"/>
          <w:szCs w:val="24"/>
        </w:rPr>
      </w:pPr>
      <w:bookmarkStart w:id="163" w:name="_Toc120614284"/>
      <w:r>
        <w:rPr>
          <w:rFonts w:ascii="宋体"/>
          <w:color w:val="auto"/>
          <w:sz w:val="24"/>
          <w:szCs w:val="24"/>
        </w:rPr>
        <w:br w:type="page"/>
      </w:r>
      <w:r>
        <w:rPr>
          <w:rFonts w:hint="eastAsia" w:ascii="宋体" w:hAnsi="宋体"/>
          <w:b/>
          <w:color w:val="auto"/>
          <w:sz w:val="36"/>
          <w:szCs w:val="36"/>
        </w:rPr>
        <w:t>具备履行合同所必需的设备和专业技术能力的书面声明</w:t>
      </w:r>
    </w:p>
    <w:p>
      <w:pPr>
        <w:spacing w:line="500" w:lineRule="exact"/>
        <w:ind w:firstLine="492"/>
        <w:rPr>
          <w:rFonts w:ascii="宋体" w:hAnsi="宋体"/>
          <w:bCs/>
          <w:color w:val="auto"/>
          <w:sz w:val="24"/>
          <w:szCs w:val="24"/>
        </w:rPr>
      </w:pPr>
    </w:p>
    <w:p>
      <w:pPr>
        <w:spacing w:line="500" w:lineRule="exact"/>
        <w:ind w:firstLine="492"/>
        <w:rPr>
          <w:rFonts w:ascii="宋体"/>
          <w:bCs/>
          <w:color w:val="auto"/>
          <w:sz w:val="28"/>
          <w:szCs w:val="28"/>
        </w:rPr>
      </w:pPr>
      <w:r>
        <w:rPr>
          <w:rFonts w:hint="eastAsia" w:ascii="宋体" w:hAnsi="宋体"/>
          <w:bCs/>
          <w:color w:val="auto"/>
          <w:sz w:val="28"/>
          <w:szCs w:val="28"/>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auto"/>
          <w:sz w:val="28"/>
          <w:szCs w:val="28"/>
        </w:rPr>
      </w:pPr>
      <w:r>
        <w:rPr>
          <w:rFonts w:hint="eastAsia" w:ascii="宋体" w:hAnsi="宋体"/>
          <w:bCs/>
          <w:color w:val="auto"/>
          <w:sz w:val="28"/>
          <w:szCs w:val="28"/>
        </w:rPr>
        <w:t>主要设备有：。</w:t>
      </w:r>
    </w:p>
    <w:p>
      <w:pPr>
        <w:spacing w:line="500" w:lineRule="exact"/>
        <w:ind w:firstLine="492"/>
        <w:rPr>
          <w:rFonts w:ascii="宋体"/>
          <w:bCs/>
          <w:color w:val="auto"/>
          <w:sz w:val="28"/>
          <w:szCs w:val="28"/>
        </w:rPr>
      </w:pPr>
      <w:r>
        <w:rPr>
          <w:rFonts w:hint="eastAsia" w:ascii="宋体" w:hAnsi="宋体"/>
          <w:bCs/>
          <w:color w:val="auto"/>
          <w:sz w:val="28"/>
          <w:szCs w:val="28"/>
        </w:rPr>
        <w:t>主要专业技术能力有：。</w:t>
      </w:r>
    </w:p>
    <w:p>
      <w:pPr>
        <w:spacing w:line="500" w:lineRule="exact"/>
        <w:rPr>
          <w:rFonts w:ascii="宋体" w:hAnsi="宋体"/>
          <w:bCs/>
          <w:color w:val="auto"/>
          <w:sz w:val="28"/>
          <w:szCs w:val="28"/>
        </w:rPr>
      </w:pPr>
    </w:p>
    <w:p>
      <w:pPr>
        <w:spacing w:line="500" w:lineRule="exact"/>
        <w:rPr>
          <w:rFonts w:ascii="宋体" w:hAnsi="宋体"/>
          <w:bCs/>
          <w:color w:val="auto"/>
          <w:sz w:val="28"/>
          <w:szCs w:val="28"/>
        </w:rPr>
      </w:pPr>
    </w:p>
    <w:p>
      <w:pPr>
        <w:spacing w:line="500" w:lineRule="exact"/>
        <w:rPr>
          <w:rFonts w:ascii="宋体" w:hAnsi="宋体"/>
          <w:bCs/>
          <w:color w:val="auto"/>
          <w:sz w:val="28"/>
          <w:szCs w:val="28"/>
        </w:rPr>
      </w:pPr>
    </w:p>
    <w:p>
      <w:pPr>
        <w:spacing w:line="500" w:lineRule="exact"/>
        <w:ind w:firstLine="6020" w:firstLineChars="2150"/>
        <w:rPr>
          <w:rFonts w:ascii="宋体"/>
          <w:bCs/>
          <w:color w:val="auto"/>
          <w:sz w:val="28"/>
          <w:szCs w:val="28"/>
        </w:rPr>
      </w:pPr>
      <w:r>
        <w:rPr>
          <w:rFonts w:hint="eastAsia" w:ascii="宋体" w:hAnsi="宋体"/>
          <w:bCs/>
          <w:color w:val="auto"/>
          <w:sz w:val="28"/>
          <w:szCs w:val="28"/>
        </w:rPr>
        <w:t>供应商名称（公章）：</w:t>
      </w:r>
    </w:p>
    <w:p>
      <w:pPr>
        <w:spacing w:line="500" w:lineRule="exact"/>
        <w:rPr>
          <w:rFonts w:ascii="宋体"/>
          <w:bCs/>
          <w:color w:val="auto"/>
          <w:sz w:val="28"/>
          <w:szCs w:val="28"/>
        </w:rPr>
      </w:pPr>
    </w:p>
    <w:p>
      <w:pPr>
        <w:spacing w:line="500" w:lineRule="exact"/>
        <w:ind w:firstLine="6020" w:firstLineChars="2150"/>
        <w:rPr>
          <w:rFonts w:ascii="宋体"/>
          <w:bCs/>
          <w:color w:val="auto"/>
          <w:sz w:val="28"/>
          <w:szCs w:val="28"/>
        </w:rPr>
      </w:pPr>
      <w:r>
        <w:rPr>
          <w:rFonts w:hint="eastAsia" w:ascii="宋体" w:hAnsi="宋体"/>
          <w:bCs/>
          <w:color w:val="auto"/>
          <w:sz w:val="28"/>
          <w:szCs w:val="28"/>
        </w:rPr>
        <w:t>日期：  年 月 日</w:t>
      </w: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6"/>
        <w:spacing w:line="500" w:lineRule="exact"/>
        <w:rPr>
          <w:rFonts w:ascii="宋体"/>
          <w:b w:val="0"/>
          <w:bCs w:val="0"/>
          <w:color w:val="auto"/>
          <w:kern w:val="0"/>
          <w:sz w:val="24"/>
          <w:szCs w:val="24"/>
        </w:rPr>
      </w:pPr>
    </w:p>
    <w:p>
      <w:pPr>
        <w:pStyle w:val="5"/>
        <w:rPr>
          <w:color w:val="auto"/>
        </w:rPr>
      </w:pPr>
    </w:p>
    <w:p>
      <w:pPr>
        <w:pStyle w:val="6"/>
        <w:spacing w:line="500" w:lineRule="exact"/>
        <w:jc w:val="center"/>
        <w:rPr>
          <w:rFonts w:ascii="宋体"/>
          <w:color w:val="auto"/>
        </w:rPr>
      </w:pPr>
      <w:r>
        <w:rPr>
          <w:rFonts w:hint="eastAsia" w:ascii="宋体" w:hAnsi="宋体"/>
          <w:color w:val="auto"/>
        </w:rPr>
        <w:t>参加政府采购活动前</w:t>
      </w:r>
      <w:r>
        <w:rPr>
          <w:rFonts w:ascii="宋体" w:hAnsi="宋体"/>
          <w:color w:val="auto"/>
        </w:rPr>
        <w:t xml:space="preserve"> 3 </w:t>
      </w:r>
      <w:r>
        <w:rPr>
          <w:rFonts w:hint="eastAsia" w:ascii="宋体" w:hAnsi="宋体"/>
          <w:color w:val="auto"/>
        </w:rPr>
        <w:t>年内在经营活动中</w:t>
      </w:r>
      <w:r>
        <w:rPr>
          <w:rFonts w:ascii="宋体"/>
          <w:color w:val="auto"/>
        </w:rPr>
        <w:br w:type="textWrapping"/>
      </w:r>
      <w:r>
        <w:rPr>
          <w:rFonts w:hint="eastAsia" w:ascii="宋体" w:hAnsi="宋体"/>
          <w:color w:val="auto"/>
        </w:rPr>
        <w:t>没有重大违法记录的书面声明</w:t>
      </w:r>
    </w:p>
    <w:p>
      <w:pPr>
        <w:spacing w:line="500" w:lineRule="exact"/>
        <w:rPr>
          <w:rFonts w:ascii="宋体"/>
          <w:b/>
          <w:bCs/>
          <w:color w:val="auto"/>
          <w:sz w:val="24"/>
          <w:szCs w:val="24"/>
        </w:rPr>
      </w:pPr>
    </w:p>
    <w:p>
      <w:pPr>
        <w:spacing w:line="500" w:lineRule="exact"/>
        <w:jc w:val="center"/>
        <w:rPr>
          <w:rFonts w:ascii="宋体"/>
          <w:b/>
          <w:bCs/>
          <w:color w:val="auto"/>
          <w:sz w:val="36"/>
          <w:szCs w:val="36"/>
        </w:rPr>
      </w:pPr>
      <w:r>
        <w:rPr>
          <w:rFonts w:hint="eastAsia" w:ascii="宋体" w:hAnsi="宋体"/>
          <w:b/>
          <w:bCs/>
          <w:color w:val="auto"/>
          <w:sz w:val="36"/>
          <w:szCs w:val="36"/>
        </w:rPr>
        <w:t>声明</w:t>
      </w:r>
    </w:p>
    <w:p>
      <w:pPr>
        <w:spacing w:line="500" w:lineRule="exact"/>
        <w:ind w:firstLine="560" w:firstLineChars="200"/>
        <w:rPr>
          <w:rFonts w:ascii="宋体" w:hAnsi="宋体"/>
          <w:bCs/>
          <w:color w:val="auto"/>
          <w:sz w:val="28"/>
          <w:szCs w:val="28"/>
        </w:rPr>
      </w:pPr>
      <w:r>
        <w:rPr>
          <w:rFonts w:hint="eastAsia" w:ascii="宋体" w:hAnsi="宋体"/>
          <w:bCs/>
          <w:color w:val="auto"/>
          <w:sz w:val="28"/>
          <w:szCs w:val="28"/>
        </w:rPr>
        <w:t>我公司郑重声明：参加本次政府采购活动前</w:t>
      </w:r>
      <w:r>
        <w:rPr>
          <w:rFonts w:ascii="宋体" w:hAnsi="宋体"/>
          <w:bCs/>
          <w:color w:val="auto"/>
          <w:sz w:val="28"/>
          <w:szCs w:val="28"/>
        </w:rPr>
        <w:t xml:space="preserve"> 3 </w:t>
      </w:r>
      <w:r>
        <w:rPr>
          <w:rFonts w:hint="eastAsia" w:ascii="宋体" w:hAnsi="宋体"/>
          <w:bCs/>
          <w:color w:val="auto"/>
          <w:sz w:val="28"/>
          <w:szCs w:val="28"/>
        </w:rPr>
        <w:t>年内，我公司在经营活动中没有因违法经营受到刑事处罚或者责令停产停业、吊销许可证或者执照、较大数额罚款等行政处罚。</w:t>
      </w:r>
    </w:p>
    <w:p>
      <w:pPr>
        <w:spacing w:line="500" w:lineRule="exact"/>
        <w:ind w:firstLine="560" w:firstLineChars="200"/>
        <w:rPr>
          <w:rFonts w:ascii="宋体"/>
          <w:bCs/>
          <w:color w:val="auto"/>
          <w:sz w:val="28"/>
          <w:szCs w:val="28"/>
        </w:rPr>
      </w:pPr>
    </w:p>
    <w:p>
      <w:pPr>
        <w:spacing w:line="500" w:lineRule="exact"/>
        <w:rPr>
          <w:rFonts w:ascii="宋体" w:hAnsi="宋体"/>
          <w:bCs/>
          <w:color w:val="auto"/>
          <w:sz w:val="28"/>
          <w:szCs w:val="28"/>
        </w:rPr>
      </w:pPr>
    </w:p>
    <w:p>
      <w:pPr>
        <w:spacing w:line="500" w:lineRule="exact"/>
        <w:ind w:firstLine="6020" w:firstLineChars="2150"/>
        <w:rPr>
          <w:rFonts w:ascii="宋体"/>
          <w:bCs/>
          <w:color w:val="auto"/>
          <w:sz w:val="28"/>
          <w:szCs w:val="28"/>
        </w:rPr>
      </w:pPr>
      <w:r>
        <w:rPr>
          <w:rFonts w:hint="eastAsia" w:ascii="宋体" w:hAnsi="宋体"/>
          <w:bCs/>
          <w:color w:val="auto"/>
          <w:sz w:val="28"/>
          <w:szCs w:val="28"/>
        </w:rPr>
        <w:t>供应商名称（公章）：</w:t>
      </w:r>
    </w:p>
    <w:p>
      <w:pPr>
        <w:spacing w:line="500" w:lineRule="exact"/>
        <w:ind w:firstLine="6020" w:firstLineChars="2150"/>
        <w:rPr>
          <w:rFonts w:hint="eastAsia" w:ascii="宋体" w:hAnsi="宋体"/>
          <w:bCs/>
          <w:color w:val="auto"/>
          <w:sz w:val="28"/>
          <w:szCs w:val="28"/>
        </w:rPr>
      </w:pPr>
      <w:r>
        <w:rPr>
          <w:rFonts w:hint="eastAsia" w:ascii="宋体" w:hAnsi="宋体"/>
          <w:bCs/>
          <w:color w:val="auto"/>
          <w:sz w:val="28"/>
          <w:szCs w:val="28"/>
        </w:rPr>
        <w:t>授权代表签字：</w:t>
      </w:r>
    </w:p>
    <w:p>
      <w:pPr>
        <w:spacing w:line="500" w:lineRule="exact"/>
        <w:ind w:firstLine="6160" w:firstLineChars="2200"/>
        <w:rPr>
          <w:rFonts w:ascii="宋体"/>
          <w:bCs/>
          <w:color w:val="auto"/>
          <w:sz w:val="28"/>
          <w:szCs w:val="28"/>
        </w:rPr>
      </w:pPr>
      <w:r>
        <w:rPr>
          <w:rFonts w:hint="eastAsia" w:ascii="宋体" w:hAnsi="宋体"/>
          <w:bCs/>
          <w:color w:val="auto"/>
          <w:sz w:val="28"/>
          <w:szCs w:val="28"/>
        </w:rPr>
        <w:t>日期： 年  月  日</w:t>
      </w: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5"/>
        <w:spacing w:line="500" w:lineRule="exact"/>
        <w:ind w:firstLine="0"/>
        <w:rPr>
          <w:rFonts w:ascii="宋体"/>
          <w:color w:val="auto"/>
          <w:sz w:val="24"/>
          <w:szCs w:val="24"/>
        </w:rPr>
      </w:pPr>
    </w:p>
    <w:p>
      <w:pPr>
        <w:pStyle w:val="6"/>
        <w:spacing w:line="500" w:lineRule="exact"/>
        <w:jc w:val="center"/>
        <w:rPr>
          <w:rFonts w:ascii="宋体"/>
          <w:color w:val="auto"/>
          <w:sz w:val="36"/>
          <w:szCs w:val="36"/>
        </w:rPr>
      </w:pPr>
      <w:r>
        <w:rPr>
          <w:rFonts w:hint="eastAsia" w:ascii="宋体" w:hAnsi="宋体"/>
          <w:color w:val="auto"/>
          <w:sz w:val="36"/>
          <w:szCs w:val="36"/>
        </w:rPr>
        <w:t>法人授权书</w:t>
      </w:r>
    </w:p>
    <w:p>
      <w:pPr>
        <w:pStyle w:val="92"/>
        <w:shd w:val="clear" w:color="auto" w:fill="auto"/>
        <w:spacing w:line="500" w:lineRule="exact"/>
        <w:ind w:firstLine="480"/>
        <w:rPr>
          <w:rFonts w:ascii="宋体"/>
          <w:color w:val="auto"/>
        </w:rPr>
      </w:pPr>
      <w:r>
        <w:rPr>
          <w:rFonts w:hint="eastAsia" w:ascii="宋体" w:hAnsi="宋体"/>
          <w:color w:val="auto"/>
        </w:rPr>
        <w:t>本授权书声明：</w:t>
      </w:r>
      <w:r>
        <w:rPr>
          <w:rFonts w:ascii="宋体" w:hAnsi="宋体"/>
          <w:color w:val="auto"/>
        </w:rPr>
        <w:t>____________</w:t>
      </w:r>
      <w:r>
        <w:rPr>
          <w:rFonts w:hint="eastAsia" w:ascii="宋体" w:hAnsi="宋体"/>
          <w:color w:val="auto"/>
        </w:rPr>
        <w:t>（供应商名称）授权</w:t>
      </w:r>
      <w:r>
        <w:rPr>
          <w:rFonts w:ascii="宋体" w:hAnsi="宋体"/>
          <w:color w:val="auto"/>
        </w:rPr>
        <w:t>________________</w:t>
      </w:r>
      <w:r>
        <w:rPr>
          <w:rFonts w:hint="eastAsia" w:ascii="宋体" w:hAnsi="宋体"/>
          <w:color w:val="auto"/>
        </w:rPr>
        <w:t xml:space="preserve">（被授权人姓名）为我方就YDZC- </w:t>
      </w:r>
      <w:r>
        <w:rPr>
          <w:rFonts w:hint="eastAsia" w:ascii="宋体" w:hAnsi="宋体"/>
          <w:color w:val="auto"/>
          <w:u w:val="single"/>
        </w:rPr>
        <w:t xml:space="preserve">       </w:t>
      </w:r>
      <w:r>
        <w:rPr>
          <w:rFonts w:hint="eastAsia" w:ascii="宋体" w:hAnsi="宋体"/>
          <w:color w:val="auto"/>
        </w:rPr>
        <w:t>号项目采购活动的合法代理人，以本公司名义全权处理一切与该项目采购有关的事务。</w:t>
      </w:r>
    </w:p>
    <w:p>
      <w:pPr>
        <w:pStyle w:val="92"/>
        <w:shd w:val="clear" w:color="auto" w:fill="auto"/>
        <w:spacing w:line="500" w:lineRule="exact"/>
        <w:ind w:firstLine="480"/>
        <w:rPr>
          <w:rFonts w:ascii="宋体"/>
          <w:color w:val="auto"/>
        </w:rPr>
      </w:pPr>
      <w:r>
        <w:rPr>
          <w:rFonts w:hint="eastAsia" w:ascii="宋体" w:hAnsi="宋体"/>
          <w:color w:val="auto"/>
        </w:rPr>
        <w:t>本授权书于</w:t>
      </w:r>
      <w:r>
        <w:rPr>
          <w:rFonts w:ascii="宋体" w:hAnsi="宋体"/>
          <w:color w:val="auto"/>
        </w:rPr>
        <w:t>______</w:t>
      </w:r>
      <w:r>
        <w:rPr>
          <w:rFonts w:hint="eastAsia" w:ascii="宋体" w:hAnsi="宋体"/>
          <w:color w:val="auto"/>
        </w:rPr>
        <w:t>年</w:t>
      </w:r>
      <w:r>
        <w:rPr>
          <w:rFonts w:ascii="宋体" w:hAnsi="宋体"/>
          <w:color w:val="auto"/>
        </w:rPr>
        <w:t>____</w:t>
      </w:r>
      <w:r>
        <w:rPr>
          <w:rFonts w:hint="eastAsia" w:ascii="宋体" w:hAnsi="宋体"/>
          <w:color w:val="auto"/>
        </w:rPr>
        <w:t>月</w:t>
      </w:r>
      <w:r>
        <w:rPr>
          <w:rFonts w:ascii="宋体" w:hAnsi="宋体"/>
          <w:color w:val="auto"/>
        </w:rPr>
        <w:t>____</w:t>
      </w:r>
      <w:r>
        <w:rPr>
          <w:rFonts w:hint="eastAsia" w:ascii="宋体" w:hAnsi="宋体"/>
          <w:color w:val="auto"/>
        </w:rPr>
        <w:t>日起生效，特此声明。</w:t>
      </w:r>
    </w:p>
    <w:p>
      <w:pPr>
        <w:pStyle w:val="92"/>
        <w:shd w:val="clear" w:color="auto" w:fill="auto"/>
        <w:spacing w:line="500" w:lineRule="exact"/>
        <w:rPr>
          <w:rFonts w:ascii="宋体"/>
          <w:color w:val="auto"/>
        </w:rPr>
      </w:pPr>
    </w:p>
    <w:p>
      <w:pPr>
        <w:pStyle w:val="92"/>
        <w:shd w:val="clear" w:color="auto" w:fill="auto"/>
        <w:spacing w:line="500" w:lineRule="exact"/>
        <w:ind w:firstLine="1200" w:firstLineChars="500"/>
        <w:rPr>
          <w:rFonts w:ascii="宋体"/>
          <w:color w:val="auto"/>
        </w:rPr>
      </w:pPr>
      <w:r>
        <w:rPr>
          <w:rFonts w:hint="eastAsia" w:ascii="宋体" w:hAnsi="宋体"/>
          <w:color w:val="auto"/>
        </w:rPr>
        <w:t>代理人（被授权人）：</w:t>
      </w:r>
      <w:r>
        <w:rPr>
          <w:rFonts w:ascii="宋体" w:hAnsi="宋体"/>
          <w:color w:val="auto"/>
        </w:rPr>
        <w:t>__________________</w:t>
      </w:r>
      <w:r>
        <w:rPr>
          <w:rFonts w:ascii="宋体" w:hAnsi="宋体"/>
          <w:color w:val="auto"/>
          <w:u w:val="single"/>
        </w:rPr>
        <w:t>___</w:t>
      </w:r>
      <w:r>
        <w:rPr>
          <w:rFonts w:ascii="宋体" w:hAnsi="宋体"/>
          <w:color w:val="auto"/>
        </w:rPr>
        <w:t>__</w:t>
      </w:r>
    </w:p>
    <w:p>
      <w:pPr>
        <w:pStyle w:val="92"/>
        <w:shd w:val="clear" w:color="auto" w:fill="auto"/>
        <w:spacing w:line="500" w:lineRule="exact"/>
        <w:ind w:firstLine="1200" w:firstLineChars="500"/>
        <w:rPr>
          <w:rFonts w:ascii="宋体"/>
          <w:color w:val="auto"/>
        </w:rPr>
      </w:pPr>
      <w:r>
        <w:rPr>
          <w:rFonts w:hint="eastAsia" w:ascii="宋体" w:hAnsi="宋体"/>
          <w:color w:val="auto"/>
        </w:rPr>
        <w:t>单位名称：</w:t>
      </w:r>
      <w:r>
        <w:rPr>
          <w:rFonts w:ascii="宋体" w:hAnsi="宋体"/>
          <w:color w:val="auto"/>
        </w:rPr>
        <w:t>_____________________________________</w:t>
      </w:r>
    </w:p>
    <w:p>
      <w:pPr>
        <w:pStyle w:val="92"/>
        <w:shd w:val="clear" w:color="auto" w:fill="auto"/>
        <w:spacing w:line="500" w:lineRule="exact"/>
        <w:ind w:firstLine="1200" w:firstLineChars="500"/>
        <w:rPr>
          <w:rFonts w:ascii="宋体" w:hAnsi="宋体"/>
          <w:color w:val="auto"/>
        </w:rPr>
      </w:pPr>
      <w:r>
        <w:rPr>
          <w:rFonts w:hint="eastAsia" w:ascii="宋体" w:hAnsi="宋体"/>
          <w:color w:val="auto"/>
        </w:rPr>
        <w:t>授权单位盖章：</w:t>
      </w:r>
      <w:r>
        <w:rPr>
          <w:rFonts w:ascii="宋体" w:hAnsi="宋体"/>
          <w:color w:val="auto"/>
        </w:rPr>
        <w:t>_________________________________</w:t>
      </w:r>
    </w:p>
    <w:p>
      <w:pPr>
        <w:pStyle w:val="92"/>
        <w:shd w:val="clear" w:color="auto" w:fill="auto"/>
        <w:spacing w:line="500" w:lineRule="exact"/>
        <w:ind w:firstLine="1200" w:firstLineChars="500"/>
        <w:rPr>
          <w:rFonts w:ascii="宋体" w:hAnsi="宋体"/>
          <w:color w:val="auto"/>
        </w:rPr>
      </w:pPr>
      <w:r>
        <w:rPr>
          <w:rFonts w:hint="eastAsia" w:ascii="宋体" w:hAnsi="宋体"/>
          <w:color w:val="auto"/>
        </w:rPr>
        <w:t>单位名称：</w:t>
      </w:r>
      <w:r>
        <w:rPr>
          <w:rFonts w:ascii="宋体" w:hAnsi="宋体"/>
          <w:color w:val="auto"/>
        </w:rPr>
        <w:t>_____________________________________</w:t>
      </w:r>
    </w:p>
    <w:p>
      <w:pPr>
        <w:pStyle w:val="92"/>
        <w:shd w:val="clear" w:color="auto" w:fill="auto"/>
        <w:spacing w:line="500" w:lineRule="exact"/>
        <w:ind w:firstLine="1200" w:firstLineChars="500"/>
        <w:rPr>
          <w:rFonts w:ascii="宋体" w:hAnsi="宋体"/>
          <w:color w:val="auto"/>
        </w:rPr>
      </w:pPr>
      <w:r>
        <w:rPr>
          <w:rFonts w:hint="eastAsia" w:ascii="宋体" w:hAnsi="宋体"/>
          <w:color w:val="auto"/>
        </w:rPr>
        <w:t>地址：</w:t>
      </w:r>
      <w:r>
        <w:rPr>
          <w:rFonts w:ascii="宋体" w:hAnsi="宋体"/>
          <w:color w:val="auto"/>
        </w:rPr>
        <w:t xml:space="preserve">_____________________________________                                       </w:t>
      </w:r>
    </w:p>
    <w:p>
      <w:pPr>
        <w:pStyle w:val="92"/>
        <w:shd w:val="clear" w:color="auto" w:fill="auto"/>
        <w:spacing w:line="500" w:lineRule="exact"/>
        <w:ind w:firstLine="1200" w:firstLineChars="500"/>
        <w:rPr>
          <w:rFonts w:ascii="宋体"/>
          <w:color w:val="auto"/>
        </w:rPr>
      </w:pPr>
      <w:r>
        <w:rPr>
          <w:rFonts w:hint="eastAsia" w:ascii="宋体" w:hAnsi="宋体"/>
          <w:color w:val="auto"/>
        </w:rPr>
        <w:t>日期：</w:t>
      </w:r>
      <w:r>
        <w:rPr>
          <w:rFonts w:ascii="宋体" w:hAnsi="宋体"/>
          <w:color w:val="auto"/>
        </w:rPr>
        <w:t xml:space="preserve">_____________________________________ </w:t>
      </w:r>
    </w:p>
    <w:p>
      <w:pPr>
        <w:spacing w:line="560" w:lineRule="exact"/>
        <w:ind w:firstLine="240" w:firstLineChars="100"/>
        <w:jc w:val="center"/>
        <w:rPr>
          <w:rFonts w:ascii="宋体"/>
          <w:color w:val="auto"/>
          <w:sz w:val="24"/>
          <w:szCs w:val="24"/>
        </w:rPr>
      </w:pPr>
      <w:r>
        <w:rPr>
          <w:rFonts w:ascii="宋体"/>
          <w:color w:val="auto"/>
          <w:sz w:val="24"/>
          <w:szCs w:val="24"/>
        </w:rPr>
        <w:br w:type="page"/>
      </w:r>
    </w:p>
    <w:p>
      <w:pPr>
        <w:snapToGrid w:val="0"/>
        <w:spacing w:before="50" w:after="50"/>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二、资格性审查响应对照表（格式）</w:t>
      </w:r>
    </w:p>
    <w:p>
      <w:pPr>
        <w:ind w:firstLine="30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投标人全称（加盖公章）：</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序号</w:t>
            </w:r>
          </w:p>
        </w:tc>
        <w:tc>
          <w:tcPr>
            <w:tcW w:w="5447"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资格性审查响应内容</w:t>
            </w:r>
          </w:p>
        </w:tc>
        <w:tc>
          <w:tcPr>
            <w:tcW w:w="1680"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是否响应</w:t>
            </w:r>
          </w:p>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（填是或者否）</w:t>
            </w:r>
          </w:p>
        </w:tc>
        <w:tc>
          <w:tcPr>
            <w:tcW w:w="1785"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投标文件中的</w:t>
            </w:r>
          </w:p>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1</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b/>
                <w:color w:val="000000"/>
              </w:rPr>
            </w:pPr>
          </w:p>
        </w:tc>
        <w:tc>
          <w:tcPr>
            <w:tcW w:w="1785" w:type="dxa"/>
            <w:noWrap w:val="0"/>
            <w:vAlign w:val="center"/>
          </w:tcPr>
          <w:p>
            <w:pPr>
              <w:rPr>
                <w:rFonts w:hint="eastAsia" w:asciiTheme="minorEastAsia" w:hAnsiTheme="minorEastAsia" w:eastAsiaTheme="minorEastAsia" w:cs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w:t>
            </w:r>
          </w:p>
        </w:tc>
        <w:tc>
          <w:tcPr>
            <w:tcW w:w="5447" w:type="dxa"/>
            <w:noWrap w:val="0"/>
            <w:vAlign w:val="center"/>
          </w:tcPr>
          <w:p>
            <w:pPr>
              <w:spacing w:line="360" w:lineRule="auto"/>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w:t>
            </w:r>
          </w:p>
        </w:tc>
        <w:tc>
          <w:tcPr>
            <w:tcW w:w="5447" w:type="dxa"/>
            <w:noWrap w:val="0"/>
            <w:vAlign w:val="center"/>
          </w:tcPr>
          <w:p>
            <w:pPr>
              <w:snapToGrid w:val="0"/>
              <w:spacing w:line="590" w:lineRule="atLeas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w:t>
            </w:r>
          </w:p>
        </w:tc>
        <w:tc>
          <w:tcPr>
            <w:tcW w:w="5447" w:type="dxa"/>
            <w:noWrap w:val="0"/>
            <w:vAlign w:val="center"/>
          </w:tcPr>
          <w:p>
            <w:pPr>
              <w:snapToGrid w:val="0"/>
              <w:spacing w:line="590" w:lineRule="atLeas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w:t>
            </w:r>
          </w:p>
        </w:tc>
        <w:tc>
          <w:tcPr>
            <w:tcW w:w="5447" w:type="dxa"/>
            <w:noWrap w:val="0"/>
            <w:vAlign w:val="center"/>
          </w:tcPr>
          <w:p>
            <w:pPr>
              <w:snapToGrid w:val="0"/>
              <w:spacing w:line="590" w:lineRule="atLeas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bl>
    <w:p>
      <w:pPr>
        <w:spacing w:line="440" w:lineRule="exact"/>
        <w:ind w:firstLine="480" w:firstLineChars="200"/>
        <w:rPr>
          <w:rFonts w:hint="eastAsia" w:ascii="宋体" w:hAnsi="宋体"/>
          <w:color w:val="000000"/>
          <w:sz w:val="24"/>
        </w:rPr>
      </w:pPr>
    </w:p>
    <w:p>
      <w:pPr>
        <w:snapToGrid w:val="0"/>
        <w:spacing w:before="50" w:after="50"/>
        <w:rPr>
          <w:rFonts w:hint="eastAsia" w:ascii="黑体" w:eastAsia="黑体"/>
          <w:color w:val="000000"/>
          <w:sz w:val="44"/>
        </w:rPr>
      </w:pPr>
      <w:r>
        <w:rPr>
          <w:rFonts w:hint="eastAsia" w:ascii="黑体" w:eastAsia="黑体"/>
          <w:color w:val="000000"/>
          <w:sz w:val="44"/>
        </w:rPr>
        <w:t xml:space="preserve"> </w:t>
      </w:r>
    </w:p>
    <w:p>
      <w:pPr>
        <w:snapToGrid w:val="0"/>
        <w:spacing w:before="50" w:after="50"/>
        <w:rPr>
          <w:rFonts w:hint="eastAsia" w:ascii="黑体" w:eastAsia="黑体"/>
          <w:color w:val="000000"/>
          <w:sz w:val="44"/>
        </w:rPr>
      </w:pPr>
    </w:p>
    <w:p>
      <w:pPr>
        <w:snapToGrid w:val="0"/>
        <w:spacing w:before="50" w:after="50"/>
        <w:rPr>
          <w:rFonts w:hint="eastAsia" w:ascii="黑体" w:eastAsia="黑体"/>
          <w:color w:val="000000"/>
          <w:sz w:val="44"/>
        </w:rPr>
      </w:pPr>
    </w:p>
    <w:p>
      <w:pPr>
        <w:snapToGrid w:val="0"/>
        <w:spacing w:before="50" w:after="50"/>
        <w:rPr>
          <w:rFonts w:hint="eastAsia" w:ascii="黑体" w:eastAsia="黑体"/>
          <w:color w:val="000000"/>
          <w:sz w:val="44"/>
        </w:rPr>
      </w:pPr>
    </w:p>
    <w:p>
      <w:pPr>
        <w:snapToGrid w:val="0"/>
        <w:spacing w:before="50" w:after="50"/>
        <w:rPr>
          <w:rFonts w:hint="eastAsia" w:ascii="黑体" w:eastAsia="黑体"/>
          <w:color w:val="000000"/>
          <w:sz w:val="44"/>
        </w:rPr>
      </w:pPr>
    </w:p>
    <w:p>
      <w:pPr>
        <w:snapToGrid w:val="0"/>
        <w:spacing w:before="50" w:after="50"/>
        <w:jc w:val="both"/>
        <w:rPr>
          <w:rFonts w:hint="eastAsia" w:ascii="黑体" w:eastAsia="黑体"/>
          <w:color w:val="000000"/>
          <w:sz w:val="32"/>
          <w:szCs w:val="32"/>
        </w:rPr>
      </w:pPr>
    </w:p>
    <w:p>
      <w:pPr>
        <w:pStyle w:val="2"/>
        <w:rPr>
          <w:rFonts w:hint="eastAsia"/>
        </w:rPr>
      </w:pPr>
    </w:p>
    <w:p>
      <w:pPr>
        <w:snapToGrid w:val="0"/>
        <w:spacing w:before="50" w:after="50"/>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三、符合性检查响应对照表（格式）</w:t>
      </w:r>
    </w:p>
    <w:p>
      <w:pPr>
        <w:ind w:firstLine="309"/>
        <w:rPr>
          <w:rFonts w:ascii="宋体" w:hAnsi="宋体"/>
          <w:color w:val="000000"/>
          <w:sz w:val="24"/>
          <w:szCs w:val="24"/>
        </w:rPr>
      </w:pPr>
      <w:r>
        <w:rPr>
          <w:rFonts w:hint="eastAsia" w:asciiTheme="minorEastAsia" w:hAnsiTheme="minorEastAsia" w:eastAsiaTheme="minorEastAsia" w:cstheme="minorEastAsia"/>
          <w:color w:val="000000"/>
          <w:sz w:val="24"/>
          <w:szCs w:val="24"/>
        </w:rPr>
        <w:t>投标人全称（加盖公章）：</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序号</w:t>
            </w:r>
          </w:p>
        </w:tc>
        <w:tc>
          <w:tcPr>
            <w:tcW w:w="5447"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符合性检查响应内容</w:t>
            </w:r>
          </w:p>
        </w:tc>
        <w:tc>
          <w:tcPr>
            <w:tcW w:w="1680"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是否响应</w:t>
            </w:r>
          </w:p>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（填是或者否）</w:t>
            </w:r>
          </w:p>
        </w:tc>
        <w:tc>
          <w:tcPr>
            <w:tcW w:w="1785" w:type="dxa"/>
            <w:noWrap w:val="0"/>
            <w:vAlign w:val="center"/>
          </w:tcPr>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投标文件中的</w:t>
            </w:r>
          </w:p>
          <w:p>
            <w:pPr>
              <w:snapToGrid w:val="0"/>
              <w:spacing w:line="240" w:lineRule="atLeas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1</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b/>
                <w:color w:val="000000"/>
              </w:rPr>
            </w:pPr>
          </w:p>
        </w:tc>
        <w:tc>
          <w:tcPr>
            <w:tcW w:w="1785" w:type="dxa"/>
            <w:noWrap w:val="0"/>
            <w:vAlign w:val="center"/>
          </w:tcPr>
          <w:p>
            <w:pPr>
              <w:rPr>
                <w:rFonts w:hint="eastAsia" w:asciiTheme="minorEastAsia" w:hAnsiTheme="minorEastAsia" w:eastAsiaTheme="minorEastAsia" w:cs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w:t>
            </w:r>
          </w:p>
        </w:tc>
        <w:tc>
          <w:tcPr>
            <w:tcW w:w="5447" w:type="dxa"/>
            <w:noWrap w:val="0"/>
            <w:vAlign w:val="center"/>
          </w:tcPr>
          <w:p>
            <w:pPr>
              <w:spacing w:line="480" w:lineRule="exact"/>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0"/>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w:t>
            </w:r>
          </w:p>
        </w:tc>
        <w:tc>
          <w:tcPr>
            <w:tcW w:w="5447" w:type="dxa"/>
            <w:noWrap w:val="0"/>
            <w:vAlign w:val="center"/>
          </w:tcPr>
          <w:p>
            <w:pPr>
              <w:spacing w:line="360" w:lineRule="auto"/>
              <w:rPr>
                <w:rFonts w:hint="eastAsia" w:asciiTheme="minorEastAsia" w:hAnsiTheme="minorEastAsia" w:eastAsiaTheme="minorEastAsia" w:cstheme="minorEastAsia"/>
                <w:iCs/>
                <w:color w:val="000000"/>
                <w:sz w:val="24"/>
                <w:szCs w:val="24"/>
              </w:rPr>
            </w:pPr>
          </w:p>
        </w:tc>
        <w:tc>
          <w:tcPr>
            <w:tcW w:w="1680" w:type="dxa"/>
            <w:noWrap w:val="0"/>
            <w:vAlign w:val="center"/>
          </w:tcPr>
          <w:p>
            <w:pPr>
              <w:rPr>
                <w:rFonts w:hint="eastAsia" w:asciiTheme="minorEastAsia" w:hAnsiTheme="minorEastAsia" w:eastAsiaTheme="minorEastAsia" w:cstheme="minorEastAsia"/>
                <w:color w:val="000000"/>
              </w:rPr>
            </w:pPr>
          </w:p>
        </w:tc>
        <w:tc>
          <w:tcPr>
            <w:tcW w:w="1785" w:type="dxa"/>
            <w:noWrap w:val="0"/>
            <w:vAlign w:val="center"/>
          </w:tcPr>
          <w:p>
            <w:pP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0"/>
            <w:vAlign w:val="center"/>
          </w:tcPr>
          <w:p>
            <w:pPr>
              <w:rPr>
                <w:rFonts w:ascii="宋体" w:hAnsi="宋体"/>
                <w:color w:val="000000"/>
              </w:rPr>
            </w:pPr>
            <w:r>
              <w:rPr>
                <w:rFonts w:hint="eastAsia" w:ascii="宋体" w:hAnsi="宋体"/>
                <w:color w:val="000000"/>
              </w:rPr>
              <w:t>5</w:t>
            </w:r>
          </w:p>
        </w:tc>
        <w:tc>
          <w:tcPr>
            <w:tcW w:w="5447" w:type="dxa"/>
            <w:noWrap w:val="0"/>
            <w:vAlign w:val="center"/>
          </w:tcPr>
          <w:p>
            <w:pPr>
              <w:snapToGrid w:val="0"/>
              <w:spacing w:line="590" w:lineRule="atLeast"/>
              <w:rPr>
                <w:rFonts w:ascii="宋体" w:hAnsi="宋体"/>
                <w:iCs/>
                <w:color w:val="000000"/>
                <w:sz w:val="24"/>
                <w:szCs w:val="24"/>
              </w:rPr>
            </w:pPr>
          </w:p>
        </w:tc>
        <w:tc>
          <w:tcPr>
            <w:tcW w:w="1680" w:type="dxa"/>
            <w:noWrap w:val="0"/>
            <w:vAlign w:val="center"/>
          </w:tcPr>
          <w:p>
            <w:pPr>
              <w:rPr>
                <w:rFonts w:ascii="宋体" w:hAnsi="宋体"/>
                <w:color w:val="000000"/>
              </w:rPr>
            </w:pPr>
          </w:p>
        </w:tc>
        <w:tc>
          <w:tcPr>
            <w:tcW w:w="1785" w:type="dxa"/>
            <w:noWrap w:val="0"/>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rPr>
                <w:rFonts w:ascii="宋体" w:hAnsi="宋体"/>
                <w:color w:val="000000"/>
              </w:rPr>
            </w:pPr>
            <w:r>
              <w:rPr>
                <w:rFonts w:hint="eastAsia" w:ascii="宋体" w:hAnsi="宋体"/>
                <w:color w:val="000000"/>
              </w:rPr>
              <w:t>6</w:t>
            </w:r>
          </w:p>
        </w:tc>
        <w:tc>
          <w:tcPr>
            <w:tcW w:w="5447" w:type="dxa"/>
            <w:noWrap w:val="0"/>
            <w:vAlign w:val="center"/>
          </w:tcPr>
          <w:p>
            <w:pPr>
              <w:snapToGrid w:val="0"/>
              <w:spacing w:line="590" w:lineRule="atLeast"/>
              <w:rPr>
                <w:rFonts w:ascii="宋体" w:hAnsi="宋体"/>
                <w:iCs/>
                <w:color w:val="000000"/>
                <w:sz w:val="24"/>
                <w:szCs w:val="24"/>
              </w:rPr>
            </w:pPr>
          </w:p>
        </w:tc>
        <w:tc>
          <w:tcPr>
            <w:tcW w:w="1680" w:type="dxa"/>
            <w:noWrap w:val="0"/>
            <w:vAlign w:val="center"/>
          </w:tcPr>
          <w:p>
            <w:pPr>
              <w:rPr>
                <w:rFonts w:ascii="宋体" w:hAnsi="宋体"/>
                <w:color w:val="000000"/>
              </w:rPr>
            </w:pPr>
          </w:p>
        </w:tc>
        <w:tc>
          <w:tcPr>
            <w:tcW w:w="1785" w:type="dxa"/>
            <w:noWrap w:val="0"/>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0"/>
            <w:vAlign w:val="center"/>
          </w:tcPr>
          <w:p>
            <w:pPr>
              <w:rPr>
                <w:rFonts w:hint="eastAsia" w:ascii="宋体" w:hAnsi="宋体"/>
                <w:color w:val="000000"/>
              </w:rPr>
            </w:pPr>
            <w:r>
              <w:rPr>
                <w:rFonts w:hint="eastAsia" w:ascii="宋体" w:hAnsi="宋体"/>
                <w:color w:val="000000"/>
              </w:rPr>
              <w:t>7</w:t>
            </w:r>
          </w:p>
        </w:tc>
        <w:tc>
          <w:tcPr>
            <w:tcW w:w="5447" w:type="dxa"/>
            <w:noWrap w:val="0"/>
            <w:vAlign w:val="center"/>
          </w:tcPr>
          <w:p>
            <w:pPr>
              <w:snapToGrid w:val="0"/>
              <w:spacing w:line="590" w:lineRule="atLeast"/>
              <w:rPr>
                <w:rFonts w:hint="eastAsia" w:ascii="宋体" w:hAnsi="宋体"/>
                <w:iCs/>
                <w:color w:val="000000"/>
                <w:sz w:val="24"/>
                <w:szCs w:val="24"/>
              </w:rPr>
            </w:pPr>
            <w:r>
              <w:rPr>
                <w:rFonts w:hint="eastAsia" w:ascii="宋体" w:hAnsi="宋体"/>
                <w:iCs/>
                <w:color w:val="000000"/>
                <w:sz w:val="24"/>
                <w:szCs w:val="24"/>
              </w:rPr>
              <w:t>招标文件中的其他实质性要求</w:t>
            </w:r>
          </w:p>
        </w:tc>
        <w:tc>
          <w:tcPr>
            <w:tcW w:w="1680" w:type="dxa"/>
            <w:noWrap w:val="0"/>
            <w:vAlign w:val="center"/>
          </w:tcPr>
          <w:p>
            <w:pPr>
              <w:rPr>
                <w:rFonts w:ascii="宋体" w:hAnsi="宋体"/>
                <w:color w:val="000000"/>
              </w:rPr>
            </w:pPr>
          </w:p>
        </w:tc>
        <w:tc>
          <w:tcPr>
            <w:tcW w:w="1785" w:type="dxa"/>
            <w:noWrap w:val="0"/>
            <w:vAlign w:val="center"/>
          </w:tcPr>
          <w:p>
            <w:pPr>
              <w:rPr>
                <w:rFonts w:ascii="宋体" w:hAnsi="宋体"/>
                <w:color w:val="000000"/>
              </w:rPr>
            </w:pPr>
          </w:p>
        </w:tc>
      </w:tr>
    </w:tbl>
    <w:p>
      <w:pPr>
        <w:pStyle w:val="4"/>
        <w:spacing w:line="500" w:lineRule="exact"/>
        <w:rPr>
          <w:rFonts w:hint="eastAsia" w:ascii="宋体" w:hAnsi="宋体" w:eastAsia="宋体"/>
          <w:b w:val="0"/>
          <w:color w:val="auto"/>
          <w:sz w:val="36"/>
          <w:szCs w:val="36"/>
        </w:rPr>
      </w:pPr>
    </w:p>
    <w:p>
      <w:pPr>
        <w:pStyle w:val="4"/>
        <w:spacing w:line="500" w:lineRule="exact"/>
        <w:rPr>
          <w:rFonts w:hint="eastAsia" w:ascii="宋体" w:hAnsi="宋体" w:eastAsia="宋体"/>
          <w:b w:val="0"/>
          <w:color w:val="auto"/>
          <w:sz w:val="36"/>
          <w:szCs w:val="36"/>
        </w:rPr>
      </w:pPr>
    </w:p>
    <w:p>
      <w:pPr>
        <w:pStyle w:val="4"/>
        <w:spacing w:line="500" w:lineRule="exact"/>
        <w:rPr>
          <w:rFonts w:hint="eastAsia" w:ascii="宋体" w:hAnsi="宋体" w:eastAsia="宋体"/>
          <w:b w:val="0"/>
          <w:color w:val="auto"/>
          <w:sz w:val="36"/>
          <w:szCs w:val="36"/>
        </w:rPr>
      </w:pPr>
    </w:p>
    <w:p>
      <w:pPr>
        <w:pStyle w:val="4"/>
        <w:spacing w:line="500" w:lineRule="exact"/>
        <w:rPr>
          <w:rFonts w:hint="eastAsia" w:ascii="宋体" w:hAnsi="宋体" w:eastAsia="宋体"/>
          <w:b w:val="0"/>
          <w:color w:val="auto"/>
          <w:sz w:val="36"/>
          <w:szCs w:val="36"/>
        </w:rPr>
      </w:pPr>
    </w:p>
    <w:p>
      <w:pPr>
        <w:pStyle w:val="4"/>
        <w:spacing w:line="500" w:lineRule="exact"/>
        <w:jc w:val="both"/>
        <w:rPr>
          <w:rFonts w:hint="eastAsia" w:ascii="宋体" w:hAnsi="宋体" w:eastAsia="宋体"/>
          <w:b w:val="0"/>
          <w:color w:val="auto"/>
          <w:sz w:val="36"/>
          <w:szCs w:val="36"/>
        </w:rPr>
      </w:pPr>
    </w:p>
    <w:p>
      <w:pPr>
        <w:rPr>
          <w:rFonts w:hint="eastAsia" w:ascii="宋体" w:hAnsi="宋体" w:eastAsia="宋体"/>
          <w:b w:val="0"/>
          <w:color w:val="auto"/>
          <w:sz w:val="36"/>
          <w:szCs w:val="36"/>
        </w:rPr>
      </w:pPr>
    </w:p>
    <w:p>
      <w:pPr>
        <w:jc w:val="center"/>
        <w:rPr>
          <w:rFonts w:ascii="宋体" w:hAnsi="宋体" w:eastAsia="宋体" w:cs="Times New Roman"/>
          <w:bCs w:val="0"/>
          <w:color w:val="auto"/>
          <w:sz w:val="36"/>
          <w:szCs w:val="36"/>
        </w:rPr>
      </w:pPr>
      <w:r>
        <w:rPr>
          <w:rFonts w:hint="eastAsia" w:ascii="宋体" w:hAnsi="宋体" w:eastAsia="宋体"/>
          <w:b/>
          <w:bCs/>
          <w:color w:val="auto"/>
          <w:sz w:val="36"/>
          <w:szCs w:val="36"/>
        </w:rPr>
        <w:t>四、投标函（格式）</w:t>
      </w:r>
    </w:p>
    <w:p>
      <w:pPr>
        <w:pStyle w:val="79"/>
        <w:spacing w:before="0" w:after="0" w:line="480" w:lineRule="exact"/>
        <w:ind w:firstLine="0"/>
        <w:rPr>
          <w:rFonts w:ascii="宋体" w:hAnsi="宋体"/>
          <w:color w:val="auto"/>
          <w:kern w:val="2"/>
          <w:u w:val="single"/>
        </w:rPr>
      </w:pPr>
      <w:r>
        <w:rPr>
          <w:rFonts w:hint="eastAsia" w:ascii="宋体" w:hAnsi="宋体"/>
          <w:color w:val="auto"/>
          <w:kern w:val="2"/>
        </w:rPr>
        <w:t>致：</w:t>
      </w:r>
      <w:r>
        <w:rPr>
          <w:rFonts w:hint="eastAsia" w:ascii="宋体" w:hAnsi="宋体"/>
          <w:color w:val="auto"/>
          <w:kern w:val="2"/>
          <w:u w:val="single"/>
        </w:rPr>
        <w:t xml:space="preserve">           （采购人名称）</w:t>
      </w:r>
    </w:p>
    <w:p>
      <w:pPr>
        <w:pStyle w:val="79"/>
        <w:spacing w:before="0" w:after="0" w:line="420" w:lineRule="exact"/>
        <w:ind w:firstLineChars="200"/>
        <w:rPr>
          <w:rFonts w:hint="eastAsia" w:ascii="宋体" w:hAnsi="宋体"/>
          <w:color w:val="000000"/>
          <w:kern w:val="2"/>
          <w:szCs w:val="21"/>
        </w:rPr>
      </w:pPr>
      <w:r>
        <w:rPr>
          <w:rFonts w:hint="eastAsia" w:ascii="宋体" w:hAnsi="宋体"/>
          <w:color w:val="000000"/>
          <w:kern w:val="2"/>
          <w:szCs w:val="21"/>
        </w:rPr>
        <w:t>根据贵方的</w:t>
      </w:r>
      <w:r>
        <w:rPr>
          <w:rFonts w:hint="eastAsia" w:ascii="宋体" w:hAnsi="宋体"/>
          <w:b/>
          <w:color w:val="000000"/>
          <w:sz w:val="36"/>
          <w:u w:val="single"/>
        </w:rPr>
        <w:t xml:space="preserve">           </w:t>
      </w:r>
      <w:r>
        <w:rPr>
          <w:rFonts w:hint="eastAsia" w:ascii="宋体" w:hAnsi="宋体"/>
          <w:color w:val="000000"/>
          <w:kern w:val="2"/>
          <w:szCs w:val="21"/>
        </w:rPr>
        <w:t>号招标文件，正式授权下述签字人_________________(姓名)代表我方______________（投标人的名称），全权处理本次项目投标的有关事宜。</w:t>
      </w:r>
    </w:p>
    <w:p>
      <w:pPr>
        <w:pStyle w:val="79"/>
        <w:spacing w:before="0" w:after="0" w:line="420" w:lineRule="exact"/>
        <w:ind w:firstLineChars="200"/>
        <w:rPr>
          <w:rFonts w:hint="eastAsia" w:ascii="宋体" w:hAnsi="宋体"/>
          <w:color w:val="000000"/>
          <w:kern w:val="2"/>
          <w:szCs w:val="21"/>
        </w:rPr>
      </w:pPr>
      <w:r>
        <w:rPr>
          <w:rFonts w:hint="eastAsia" w:ascii="宋体" w:hAnsi="宋体"/>
          <w:color w:val="000000"/>
          <w:kern w:val="2"/>
          <w:szCs w:val="21"/>
        </w:rPr>
        <w:t>据此函，__________签字人兹宣布同意如下：</w:t>
      </w:r>
    </w:p>
    <w:p>
      <w:pPr>
        <w:pStyle w:val="79"/>
        <w:spacing w:before="0" w:after="0" w:line="420" w:lineRule="exact"/>
        <w:rPr>
          <w:rFonts w:hint="eastAsia" w:ascii="宋体" w:hAnsi="宋体"/>
          <w:color w:val="000000"/>
          <w:kern w:val="2"/>
          <w:szCs w:val="21"/>
        </w:rPr>
      </w:pPr>
      <w:r>
        <w:rPr>
          <w:rFonts w:hint="eastAsia" w:ascii="宋体" w:hAnsi="宋体"/>
          <w:color w:val="000000"/>
          <w:kern w:val="2"/>
          <w:szCs w:val="21"/>
        </w:rPr>
        <w:t>1.按招标文件规定的各项要求，向买方提供所需货物与服务。</w:t>
      </w:r>
    </w:p>
    <w:p>
      <w:pPr>
        <w:pStyle w:val="79"/>
        <w:spacing w:before="0" w:after="0" w:line="420" w:lineRule="exact"/>
        <w:ind w:firstLineChars="200"/>
        <w:rPr>
          <w:rFonts w:hint="eastAsia" w:ascii="宋体" w:hAnsi="宋体"/>
          <w:color w:val="000000"/>
          <w:kern w:val="2"/>
          <w:szCs w:val="21"/>
        </w:rPr>
      </w:pPr>
      <w:r>
        <w:rPr>
          <w:rFonts w:hint="eastAsia" w:ascii="宋体" w:hAnsi="宋体"/>
          <w:color w:val="000000"/>
          <w:kern w:val="2"/>
          <w:szCs w:val="21"/>
        </w:rPr>
        <w:t>2.我们完全理解贵方不一定将合同授予最低报价的投标人。</w:t>
      </w:r>
    </w:p>
    <w:p>
      <w:pPr>
        <w:pStyle w:val="79"/>
        <w:spacing w:before="0" w:after="0" w:line="420" w:lineRule="exact"/>
        <w:ind w:firstLineChars="200"/>
        <w:rPr>
          <w:rFonts w:hint="eastAsia" w:ascii="宋体" w:hAnsi="宋体"/>
          <w:color w:val="000000"/>
          <w:kern w:val="2"/>
          <w:szCs w:val="21"/>
        </w:rPr>
      </w:pPr>
      <w:r>
        <w:rPr>
          <w:rFonts w:hint="eastAsia" w:ascii="宋体" w:hAnsi="宋体"/>
          <w:color w:val="000000"/>
          <w:kern w:val="2"/>
          <w:szCs w:val="21"/>
        </w:rPr>
        <w:t>3.我们已详细审核全部招标文件及其有效补充文件，我们知道必须放弃提出含糊不清或误解问题的权利。</w:t>
      </w:r>
    </w:p>
    <w:p>
      <w:pPr>
        <w:pStyle w:val="79"/>
        <w:spacing w:before="0" w:after="0" w:line="420" w:lineRule="exact"/>
        <w:rPr>
          <w:rFonts w:hint="eastAsia" w:ascii="宋体" w:hAnsi="宋体"/>
          <w:color w:val="000000"/>
          <w:kern w:val="2"/>
          <w:szCs w:val="21"/>
        </w:rPr>
      </w:pPr>
      <w:r>
        <w:rPr>
          <w:rFonts w:hint="eastAsia" w:ascii="宋体" w:hAnsi="宋体"/>
          <w:color w:val="000000"/>
          <w:kern w:val="2"/>
          <w:szCs w:val="21"/>
        </w:rPr>
        <w:t>4.我们同意从规定的开标日期起遵循本投标文件，并在规定的投标有效期期满之前均具有约束力。</w:t>
      </w:r>
    </w:p>
    <w:p>
      <w:pPr>
        <w:pStyle w:val="79"/>
        <w:spacing w:before="0" w:after="0" w:line="420" w:lineRule="exact"/>
        <w:rPr>
          <w:rFonts w:hint="eastAsia" w:ascii="宋体" w:hAnsi="宋体"/>
          <w:color w:val="000000"/>
          <w:kern w:val="2"/>
          <w:szCs w:val="21"/>
        </w:rPr>
      </w:pPr>
      <w:r>
        <w:rPr>
          <w:rFonts w:hint="eastAsia" w:ascii="宋体" w:hAnsi="宋体"/>
          <w:color w:val="000000"/>
          <w:kern w:val="2"/>
          <w:szCs w:val="21"/>
        </w:rPr>
        <w:t>5.如果在开标后规定的投标有效期内撤回投标或中标后拒绝签订合同，则按照国家相关法律法规受到相应处罚。</w:t>
      </w:r>
    </w:p>
    <w:p>
      <w:pPr>
        <w:pStyle w:val="79"/>
        <w:spacing w:before="0" w:after="0" w:line="420" w:lineRule="exact"/>
        <w:rPr>
          <w:rFonts w:hint="eastAsia" w:ascii="宋体" w:hAnsi="宋体"/>
          <w:color w:val="000000"/>
          <w:kern w:val="2"/>
          <w:szCs w:val="21"/>
        </w:rPr>
      </w:pPr>
      <w:r>
        <w:rPr>
          <w:rFonts w:hint="eastAsia" w:ascii="宋体" w:hAnsi="宋体"/>
          <w:color w:val="000000"/>
          <w:kern w:val="2"/>
          <w:szCs w:val="21"/>
        </w:rPr>
        <w:t>6.同意向贵方提供贵方可能另外要求的与投标有关的任何证据或资料，并保证我方已提供和将要提供的文件是真实的、准确的。</w:t>
      </w:r>
    </w:p>
    <w:p>
      <w:pPr>
        <w:pStyle w:val="79"/>
        <w:spacing w:before="0" w:after="0" w:line="420" w:lineRule="exact"/>
        <w:rPr>
          <w:rFonts w:hint="eastAsia" w:ascii="宋体" w:hAnsi="宋体"/>
          <w:color w:val="000000"/>
          <w:kern w:val="2"/>
          <w:szCs w:val="21"/>
        </w:rPr>
      </w:pPr>
      <w:r>
        <w:rPr>
          <w:rFonts w:hint="eastAsia" w:ascii="宋体" w:hAnsi="宋体"/>
          <w:color w:val="000000"/>
          <w:kern w:val="2"/>
          <w:szCs w:val="21"/>
        </w:rPr>
        <w:t>7.一旦我方中标,我方将根据招标文件的规定，严格履行合同的责任和义务,并保证在招标文件规定的时间完成项目，交付买方验收、使用。</w:t>
      </w:r>
    </w:p>
    <w:p>
      <w:pPr>
        <w:pStyle w:val="79"/>
        <w:spacing w:before="0" w:after="0" w:line="480" w:lineRule="exact"/>
        <w:ind w:left="425" w:firstLine="0"/>
        <w:rPr>
          <w:rFonts w:ascii="宋体"/>
          <w:color w:val="auto"/>
          <w:kern w:val="2"/>
        </w:rPr>
      </w:pPr>
      <w:r>
        <w:rPr>
          <w:rFonts w:hint="eastAsia" w:ascii="宋体" w:hAnsi="宋体"/>
          <w:color w:val="000000"/>
          <w:kern w:val="2"/>
          <w:szCs w:val="21"/>
        </w:rPr>
        <w:t>8.与本投标有关的正式通讯地址为：</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地址：</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邮编：</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电话：</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传真：</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投标人开户行：</w:t>
      </w:r>
    </w:p>
    <w:p>
      <w:pPr>
        <w:pStyle w:val="79"/>
        <w:spacing w:before="0" w:after="0" w:line="480" w:lineRule="exact"/>
        <w:ind w:left="420" w:leftChars="200" w:firstLineChars="200"/>
        <w:rPr>
          <w:rFonts w:ascii="宋体" w:hAnsi="宋体"/>
          <w:color w:val="auto"/>
          <w:kern w:val="2"/>
        </w:rPr>
      </w:pPr>
      <w:r>
        <w:rPr>
          <w:rFonts w:hint="eastAsia" w:ascii="宋体" w:hAnsi="宋体"/>
          <w:color w:val="auto"/>
          <w:kern w:val="2"/>
        </w:rPr>
        <w:t>账户：</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投标人授权代表姓名（签字）：</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投标人名称（公章）：</w:t>
      </w:r>
    </w:p>
    <w:p>
      <w:pPr>
        <w:pStyle w:val="79"/>
        <w:spacing w:before="0" w:after="0" w:line="480" w:lineRule="exact"/>
        <w:ind w:left="420" w:leftChars="200" w:firstLineChars="200"/>
        <w:rPr>
          <w:rFonts w:ascii="宋体"/>
          <w:color w:val="auto"/>
          <w:kern w:val="2"/>
        </w:rPr>
      </w:pPr>
      <w:r>
        <w:rPr>
          <w:rFonts w:hint="eastAsia" w:ascii="宋体" w:hAnsi="宋体"/>
          <w:color w:val="auto"/>
          <w:kern w:val="2"/>
        </w:rPr>
        <w:t>日期：</w:t>
      </w:r>
      <w:r>
        <w:rPr>
          <w:rFonts w:ascii="宋体" w:hAnsi="宋体"/>
          <w:color w:val="auto"/>
          <w:kern w:val="2"/>
        </w:rPr>
        <w:t>_____</w:t>
      </w:r>
      <w:r>
        <w:rPr>
          <w:rFonts w:hint="eastAsia" w:ascii="宋体" w:hAnsi="宋体"/>
          <w:color w:val="auto"/>
          <w:kern w:val="2"/>
        </w:rPr>
        <w:t>年</w:t>
      </w:r>
      <w:r>
        <w:rPr>
          <w:rFonts w:ascii="宋体" w:hAnsi="宋体"/>
          <w:color w:val="auto"/>
          <w:kern w:val="2"/>
        </w:rPr>
        <w:t>____</w:t>
      </w:r>
      <w:r>
        <w:rPr>
          <w:rFonts w:hint="eastAsia" w:ascii="宋体" w:hAnsi="宋体"/>
          <w:color w:val="auto"/>
          <w:kern w:val="2"/>
        </w:rPr>
        <w:t>月</w:t>
      </w:r>
      <w:r>
        <w:rPr>
          <w:rFonts w:ascii="宋体" w:hAnsi="宋体"/>
          <w:color w:val="auto"/>
          <w:kern w:val="2"/>
        </w:rPr>
        <w:t>____</w:t>
      </w:r>
      <w:r>
        <w:rPr>
          <w:rFonts w:hint="eastAsia" w:ascii="宋体" w:hAnsi="宋体"/>
          <w:color w:val="auto"/>
          <w:kern w:val="2"/>
        </w:rPr>
        <w:t>日</w:t>
      </w:r>
    </w:p>
    <w:p>
      <w:pPr>
        <w:pStyle w:val="4"/>
        <w:spacing w:line="500" w:lineRule="exact"/>
        <w:rPr>
          <w:rFonts w:ascii="宋体" w:hAnsi="宋体" w:eastAsia="宋体"/>
          <w:color w:val="auto"/>
          <w:sz w:val="36"/>
          <w:szCs w:val="36"/>
        </w:rPr>
      </w:pPr>
      <w:r>
        <w:rPr>
          <w:rFonts w:hint="eastAsia" w:ascii="宋体" w:hAnsi="宋体" w:eastAsia="宋体" w:cs="Times New Roman"/>
          <w:bCs w:val="0"/>
          <w:color w:val="auto"/>
          <w:sz w:val="36"/>
          <w:szCs w:val="36"/>
        </w:rPr>
        <w:t>四、</w:t>
      </w:r>
      <w:r>
        <w:rPr>
          <w:rFonts w:hint="eastAsia" w:ascii="宋体" w:hAnsi="宋体" w:eastAsia="宋体"/>
          <w:color w:val="auto"/>
          <w:sz w:val="36"/>
          <w:szCs w:val="36"/>
        </w:rPr>
        <w:t>开标一览表</w:t>
      </w:r>
    </w:p>
    <w:tbl>
      <w:tblPr>
        <w:tblStyle w:val="37"/>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auto"/>
                <w:sz w:val="24"/>
                <w:szCs w:val="24"/>
              </w:rPr>
            </w:pPr>
            <w:r>
              <w:rPr>
                <w:rFonts w:hint="eastAsia" w:ascii="宋体" w:hAnsi="宋体"/>
                <w:b/>
                <w:color w:val="auto"/>
                <w:sz w:val="24"/>
                <w:szCs w:val="24"/>
              </w:rPr>
              <w:t>项目编号</w:t>
            </w:r>
          </w:p>
        </w:tc>
        <w:tc>
          <w:tcPr>
            <w:tcW w:w="7445" w:type="dxa"/>
            <w:vAlign w:val="center"/>
          </w:tcPr>
          <w:p>
            <w:pPr>
              <w:pStyle w:val="4"/>
              <w:spacing w:line="500" w:lineRule="exact"/>
              <w:rPr>
                <w:rFonts w:ascii="宋体" w:hAnsi="宋体" w:eastAsia="宋体"/>
                <w:color w:val="auto"/>
                <w:sz w:val="24"/>
                <w:szCs w:val="24"/>
              </w:rPr>
            </w:pPr>
            <w:r>
              <w:rPr>
                <w:rFonts w:ascii="宋体" w:hAnsi="宋体" w:eastAsia="宋体"/>
                <w:color w:val="auto"/>
                <w:sz w:val="24"/>
                <w:szCs w:val="24"/>
              </w:rPr>
              <w:t>YDZC</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20</w:t>
            </w:r>
            <w:r>
              <w:rPr>
                <w:rFonts w:hint="eastAsia" w:ascii="宋体" w:hAnsi="宋体" w:eastAsia="宋体"/>
                <w:color w:val="auto"/>
                <w:sz w:val="24"/>
                <w:szCs w:val="24"/>
              </w:rPr>
              <w:t>2</w:t>
            </w:r>
            <w:r>
              <w:rPr>
                <w:rFonts w:hint="eastAsia" w:ascii="宋体" w:hAnsi="宋体" w:eastAsia="宋体"/>
                <w:color w:val="auto"/>
                <w:sz w:val="24"/>
                <w:szCs w:val="24"/>
                <w:lang w:val="en-US" w:eastAsia="zh-CN"/>
              </w:rPr>
              <w:t>1</w:t>
            </w:r>
            <w:r>
              <w:rPr>
                <w:rFonts w:ascii="宋体" w:hAnsi="宋体" w:eastAsia="宋体"/>
                <w:color w:val="auto"/>
                <w:sz w:val="24"/>
                <w:szCs w:val="24"/>
              </w:rPr>
              <w:t>-</w:t>
            </w:r>
            <w:r>
              <w:rPr>
                <w:rFonts w:hint="eastAsia" w:ascii="宋体" w:hAnsi="宋体" w:eastAsia="宋体"/>
                <w:color w:val="auto"/>
                <w:sz w:val="24"/>
                <w:szCs w:val="24"/>
                <w:lang w:val="en-US" w:eastAsia="zh-CN"/>
              </w:rPr>
              <w:t xml:space="preserve">FS   </w:t>
            </w:r>
            <w:r>
              <w:rPr>
                <w:rFonts w:hint="eastAsia" w:ascii="宋体" w:hAnsi="宋体" w:eastAsia="宋体"/>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auto"/>
                <w:sz w:val="24"/>
                <w:szCs w:val="24"/>
              </w:rPr>
            </w:pPr>
            <w:r>
              <w:rPr>
                <w:rFonts w:hint="eastAsia" w:ascii="宋体" w:hAnsi="宋体"/>
                <w:b/>
                <w:color w:val="auto"/>
                <w:sz w:val="24"/>
                <w:szCs w:val="24"/>
              </w:rPr>
              <w:t>项目名称</w:t>
            </w:r>
          </w:p>
        </w:tc>
        <w:tc>
          <w:tcPr>
            <w:tcW w:w="7445" w:type="dxa"/>
            <w:vAlign w:val="center"/>
          </w:tcPr>
          <w:p>
            <w:pPr>
              <w:pStyle w:val="4"/>
              <w:spacing w:line="500" w:lineRule="exact"/>
              <w:jc w:val="both"/>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b/>
                <w:color w:val="auto"/>
                <w:sz w:val="24"/>
                <w:szCs w:val="24"/>
                <w:u w:val="single"/>
              </w:rPr>
            </w:pPr>
            <w:r>
              <w:rPr>
                <w:rFonts w:hint="eastAsia" w:ascii="宋体" w:hAnsi="宋体"/>
                <w:b/>
                <w:bCs/>
                <w:color w:val="auto"/>
                <w:sz w:val="24"/>
                <w:szCs w:val="24"/>
              </w:rPr>
              <w:t>项目投标报价：</w:t>
            </w:r>
            <w:r>
              <w:rPr>
                <w:rFonts w:hint="eastAsia" w:ascii="宋体" w:hAnsi="宋体"/>
                <w:b/>
                <w:color w:val="auto"/>
                <w:sz w:val="24"/>
                <w:szCs w:val="24"/>
              </w:rPr>
              <w:t>人民币（大写）</w:t>
            </w:r>
            <w:r>
              <w:rPr>
                <w:rFonts w:hint="eastAsia" w:ascii="宋体" w:hAnsi="宋体"/>
                <w:b/>
                <w:color w:val="auto"/>
                <w:sz w:val="24"/>
                <w:szCs w:val="24"/>
                <w:u w:val="single"/>
                <w:lang w:val="en-US" w:eastAsia="zh-CN"/>
              </w:rPr>
              <w:t xml:space="preserve">         </w:t>
            </w:r>
            <w:r>
              <w:rPr>
                <w:rFonts w:hint="eastAsia" w:ascii="宋体" w:hAnsi="宋体"/>
                <w:b/>
                <w:color w:val="auto"/>
                <w:sz w:val="24"/>
                <w:szCs w:val="24"/>
              </w:rPr>
              <w:t>元整</w:t>
            </w:r>
            <w:r>
              <w:rPr>
                <w:rFonts w:hint="eastAsia" w:ascii="新宋体" w:hAnsi="新宋体" w:eastAsia="新宋体"/>
                <w:b/>
                <w:color w:val="auto"/>
                <w:sz w:val="24"/>
              </w:rPr>
              <w:t>（￥</w:t>
            </w:r>
            <w:r>
              <w:rPr>
                <w:rFonts w:hint="eastAsia" w:ascii="新宋体" w:hAnsi="新宋体" w:eastAsia="新宋体"/>
                <w:b/>
                <w:color w:val="auto"/>
                <w:sz w:val="24"/>
                <w:u w:val="single"/>
              </w:rPr>
              <w:t xml:space="preserve">   </w:t>
            </w:r>
            <w:r>
              <w:rPr>
                <w:rFonts w:hint="eastAsia" w:ascii="新宋体" w:hAnsi="新宋体" w:eastAsia="新宋体"/>
                <w:b/>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hint="eastAsia" w:ascii="宋体" w:hAnsi="宋体"/>
                <w:b/>
                <w:bCs/>
                <w:color w:val="auto"/>
                <w:sz w:val="24"/>
                <w:szCs w:val="24"/>
              </w:rPr>
            </w:pPr>
            <w:r>
              <w:rPr>
                <w:rFonts w:hint="eastAsia" w:ascii="宋体" w:hAnsi="宋体"/>
                <w:b/>
                <w:bCs/>
                <w:color w:val="auto"/>
                <w:sz w:val="24"/>
                <w:szCs w:val="24"/>
              </w:rPr>
              <w:t>是否提供《企业类型声明函》：</w:t>
            </w:r>
            <w:r>
              <w:rPr>
                <w:rFonts w:hint="eastAsia" w:ascii="宋体" w:hAnsi="宋体"/>
                <w:b/>
                <w:bCs/>
                <w:color w:val="auto"/>
                <w:sz w:val="24"/>
                <w:szCs w:val="24"/>
                <w:u w:val="single"/>
              </w:rPr>
              <w:t xml:space="preserve">  是/否  </w:t>
            </w:r>
            <w:r>
              <w:rPr>
                <w:rFonts w:hint="eastAsia" w:ascii="宋体" w:hAnsi="宋体"/>
                <w:b/>
                <w:bCs/>
                <w:color w:val="auto"/>
                <w:sz w:val="24"/>
                <w:szCs w:val="24"/>
              </w:rPr>
              <w:t xml:space="preserve">            见（</w:t>
            </w:r>
            <w:r>
              <w:rPr>
                <w:rFonts w:hint="eastAsia" w:ascii="宋体" w:hAnsi="宋体"/>
                <w:b/>
                <w:bCs/>
                <w:color w:val="auto"/>
                <w:sz w:val="24"/>
                <w:szCs w:val="24"/>
                <w:u w:val="single"/>
              </w:rPr>
              <w:t xml:space="preserve">          </w:t>
            </w:r>
            <w:r>
              <w:rPr>
                <w:rFonts w:hint="eastAsia" w:ascii="宋体" w:hAnsi="宋体"/>
                <w:b/>
                <w:bCs/>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color w:val="auto"/>
                <w:sz w:val="24"/>
                <w:szCs w:val="24"/>
              </w:rPr>
            </w:pPr>
            <w:r>
              <w:rPr>
                <w:rFonts w:hint="eastAsia" w:ascii="宋体" w:hAnsi="宋体"/>
                <w:b/>
                <w:bCs/>
                <w:color w:val="auto"/>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color w:val="auto"/>
                <w:sz w:val="24"/>
                <w:szCs w:val="24"/>
              </w:rPr>
            </w:pPr>
            <w:r>
              <w:rPr>
                <w:rFonts w:hint="eastAsia" w:ascii="宋体" w:hAnsi="宋体"/>
                <w:b/>
                <w:bCs/>
                <w:color w:val="auto"/>
                <w:sz w:val="24"/>
                <w:szCs w:val="24"/>
              </w:rPr>
              <w:t>项目实施时间（供期或工期）：</w:t>
            </w:r>
          </w:p>
        </w:tc>
      </w:tr>
    </w:tbl>
    <w:p>
      <w:pPr>
        <w:spacing w:line="500" w:lineRule="exact"/>
        <w:rPr>
          <w:rFonts w:ascii="宋体"/>
          <w:color w:val="auto"/>
          <w:sz w:val="24"/>
          <w:szCs w:val="24"/>
        </w:rPr>
      </w:pPr>
      <w:r>
        <w:rPr>
          <w:rFonts w:hint="eastAsia" w:ascii="宋体" w:hAnsi="宋体"/>
          <w:color w:val="auto"/>
          <w:sz w:val="24"/>
          <w:szCs w:val="24"/>
        </w:rPr>
        <w:t>填写说明：</w:t>
      </w:r>
    </w:p>
    <w:p>
      <w:pPr>
        <w:numPr>
          <w:ilvl w:val="0"/>
          <w:numId w:val="26"/>
        </w:numPr>
        <w:spacing w:line="500" w:lineRule="exact"/>
        <w:rPr>
          <w:rFonts w:ascii="宋体"/>
          <w:color w:val="auto"/>
          <w:sz w:val="24"/>
          <w:szCs w:val="24"/>
        </w:rPr>
      </w:pPr>
      <w:r>
        <w:rPr>
          <w:rFonts w:hint="eastAsia" w:ascii="宋体" w:hAnsi="宋体"/>
          <w:color w:val="auto"/>
          <w:sz w:val="24"/>
          <w:szCs w:val="24"/>
        </w:rPr>
        <w:t>开标一览表不得填报选择性报价，否则将作为无效投标；</w:t>
      </w:r>
    </w:p>
    <w:p>
      <w:pPr>
        <w:numPr>
          <w:ilvl w:val="0"/>
          <w:numId w:val="26"/>
        </w:numPr>
        <w:spacing w:line="500" w:lineRule="exact"/>
        <w:rPr>
          <w:rFonts w:ascii="宋体"/>
          <w:color w:val="auto"/>
          <w:sz w:val="24"/>
          <w:szCs w:val="24"/>
        </w:rPr>
      </w:pPr>
      <w:r>
        <w:rPr>
          <w:rFonts w:hint="eastAsia" w:ascii="宋体" w:hAnsi="宋体"/>
          <w:color w:val="auto"/>
          <w:sz w:val="24"/>
          <w:szCs w:val="24"/>
        </w:rPr>
        <w:t>开标一览表中报价与投标报价清单中不符时时，以开标一览表为准；</w:t>
      </w:r>
    </w:p>
    <w:p>
      <w:pPr>
        <w:spacing w:line="500" w:lineRule="exact"/>
        <w:ind w:firstLine="1440" w:firstLineChars="600"/>
        <w:rPr>
          <w:rFonts w:ascii="宋体"/>
          <w:color w:val="auto"/>
          <w:sz w:val="24"/>
          <w:szCs w:val="24"/>
        </w:rPr>
      </w:pPr>
    </w:p>
    <w:p>
      <w:pPr>
        <w:spacing w:line="500" w:lineRule="exact"/>
        <w:rPr>
          <w:rFonts w:ascii="宋体"/>
          <w:color w:val="auto"/>
          <w:sz w:val="24"/>
          <w:szCs w:val="24"/>
        </w:rPr>
      </w:pPr>
    </w:p>
    <w:p>
      <w:pPr>
        <w:spacing w:line="500" w:lineRule="exact"/>
        <w:rPr>
          <w:rFonts w:ascii="宋体"/>
          <w:color w:val="auto"/>
          <w:sz w:val="24"/>
          <w:szCs w:val="24"/>
        </w:rPr>
      </w:pPr>
    </w:p>
    <w:p>
      <w:pPr>
        <w:pStyle w:val="19"/>
        <w:spacing w:line="480" w:lineRule="auto"/>
        <w:ind w:firstLine="4336" w:firstLineChars="1807"/>
        <w:rPr>
          <w:rFonts w:ascii="新宋体" w:hAnsi="新宋体" w:eastAsia="新宋体"/>
          <w:color w:val="auto"/>
          <w:sz w:val="24"/>
          <w:szCs w:val="24"/>
          <w:u w:val="single"/>
        </w:rPr>
      </w:pPr>
      <w:r>
        <w:rPr>
          <w:rFonts w:hint="eastAsia" w:ascii="新宋体" w:hAnsi="新宋体" w:eastAsia="新宋体"/>
          <w:color w:val="auto"/>
          <w:sz w:val="24"/>
          <w:szCs w:val="24"/>
        </w:rPr>
        <w:t>供应商名称（盖章）：</w:t>
      </w:r>
    </w:p>
    <w:p>
      <w:pPr>
        <w:pStyle w:val="19"/>
        <w:spacing w:line="480" w:lineRule="auto"/>
        <w:rPr>
          <w:rFonts w:ascii="新宋体" w:hAnsi="新宋体" w:eastAsia="新宋体"/>
          <w:color w:val="auto"/>
          <w:sz w:val="24"/>
          <w:szCs w:val="24"/>
        </w:rPr>
      </w:pPr>
      <w:r>
        <w:rPr>
          <w:rFonts w:hint="eastAsia" w:ascii="新宋体" w:hAnsi="新宋体" w:eastAsia="新宋体"/>
          <w:color w:val="auto"/>
          <w:sz w:val="24"/>
          <w:szCs w:val="24"/>
        </w:rPr>
        <w:t xml:space="preserve">                               日期：  年  月  日</w:t>
      </w:r>
    </w:p>
    <w:p>
      <w:pPr>
        <w:pStyle w:val="5"/>
        <w:spacing w:line="500" w:lineRule="exact"/>
        <w:ind w:firstLine="0"/>
        <w:jc w:val="center"/>
        <w:rPr>
          <w:rFonts w:ascii="宋体"/>
          <w:color w:val="auto"/>
          <w:sz w:val="24"/>
          <w:szCs w:val="24"/>
        </w:rPr>
      </w:pPr>
      <w:r>
        <w:rPr>
          <w:rFonts w:ascii="宋体"/>
          <w:b/>
          <w:color w:val="auto"/>
          <w:sz w:val="24"/>
          <w:szCs w:val="24"/>
        </w:rPr>
        <w:br w:type="page"/>
      </w:r>
      <w:r>
        <w:rPr>
          <w:rFonts w:hint="eastAsia" w:ascii="宋体" w:hAnsi="宋体"/>
          <w:b/>
          <w:color w:val="auto"/>
          <w:sz w:val="36"/>
          <w:szCs w:val="36"/>
        </w:rPr>
        <w:t>五、投标产品配置及分项报价表（格式）</w:t>
      </w:r>
    </w:p>
    <w:p>
      <w:pPr>
        <w:spacing w:line="500" w:lineRule="exact"/>
        <w:ind w:firstLine="120" w:firstLineChars="50"/>
        <w:jc w:val="left"/>
        <w:rPr>
          <w:rFonts w:ascii="宋体" w:hAnsi="宋体"/>
          <w:color w:val="auto"/>
          <w:sz w:val="24"/>
          <w:szCs w:val="24"/>
        </w:rPr>
      </w:pPr>
      <w:r>
        <w:rPr>
          <w:rFonts w:ascii="宋体" w:hAnsi="宋体"/>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287655</wp:posOffset>
                </wp:positionV>
                <wp:extent cx="1714500" cy="0"/>
                <wp:effectExtent l="0" t="0" r="0" b="0"/>
                <wp:wrapNone/>
                <wp:docPr id="2" name="自选图形 2"/>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68.25pt;margin-top:22.65pt;height:0pt;width:135pt;z-index:251659264;mso-width-relative:page;mso-height-relative:page;" filled="f" stroked="t" coordsize="21600,21600" o:gfxdata="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DdeF1gAAAAkBAAAPAAAAAAAAAAEAIAAAACIAAABkcnMvZG93bnJldi54bWxQ&#10;SwECFAAUAAAACACHTuJApwFzp/kBAADxAwAADgAAAAAAAAABACAAAAAlAQAAZHJzL2Uyb0RvYy54&#10;bWxQSwUGAAAAAAYABgBZAQAAkAUAAAAA&#10;">
                <v:fill on="f" focussize="0,0"/>
                <v:stroke color="#000000" joinstyle="round"/>
                <v:imagedata o:title=""/>
                <o:lock v:ext="edit" aspectratio="f"/>
              </v:shape>
            </w:pict>
          </mc:Fallback>
        </mc:AlternateContent>
      </w:r>
      <w:r>
        <w:rPr>
          <w:rFonts w:hint="eastAsia" w:ascii="宋体" w:hAnsi="宋体"/>
          <w:color w:val="auto"/>
          <w:sz w:val="24"/>
          <w:szCs w:val="24"/>
        </w:rPr>
        <w:t>投标人全称：                     （加盖公章）</w:t>
      </w:r>
    </w:p>
    <w:tbl>
      <w:tblPr>
        <w:tblStyle w:val="37"/>
        <w:tblpPr w:leftFromText="180" w:rightFromText="180" w:horzAnchor="margin" w:tblpXSpec="center" w:tblpY="1140"/>
        <w:tblW w:w="10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993"/>
        <w:gridCol w:w="1842"/>
        <w:gridCol w:w="851"/>
        <w:gridCol w:w="992"/>
        <w:gridCol w:w="992"/>
        <w:gridCol w:w="99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675"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号</w:t>
            </w:r>
          </w:p>
        </w:tc>
        <w:tc>
          <w:tcPr>
            <w:tcW w:w="1701" w:type="dxa"/>
            <w:tcBorders>
              <w:bottom w:val="single" w:color="auto" w:sz="4" w:space="0"/>
            </w:tcBorders>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货物名称</w:t>
            </w:r>
          </w:p>
        </w:tc>
        <w:tc>
          <w:tcPr>
            <w:tcW w:w="993" w:type="dxa"/>
            <w:tcBorders>
              <w:bottom w:val="single" w:color="auto" w:sz="4" w:space="0"/>
            </w:tcBorders>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规格、型号</w:t>
            </w:r>
          </w:p>
        </w:tc>
        <w:tc>
          <w:tcPr>
            <w:tcW w:w="184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参数</w:t>
            </w:r>
          </w:p>
        </w:tc>
        <w:tc>
          <w:tcPr>
            <w:tcW w:w="851"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w:t>
            </w: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数量</w:t>
            </w: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价</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（元）</w:t>
            </w:r>
          </w:p>
        </w:tc>
        <w:tc>
          <w:tcPr>
            <w:tcW w:w="993" w:type="dxa"/>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价</w:t>
            </w:r>
          </w:p>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（元）</w:t>
            </w:r>
          </w:p>
        </w:tc>
        <w:tc>
          <w:tcPr>
            <w:tcW w:w="993" w:type="dxa"/>
            <w:vAlign w:val="center"/>
          </w:tcPr>
          <w:p>
            <w:pPr>
              <w:spacing w:line="500" w:lineRule="exact"/>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投标品牌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0032" w:type="dxa"/>
            <w:gridSpan w:val="9"/>
            <w:vAlign w:val="center"/>
          </w:tcPr>
          <w:p>
            <w:pPr>
              <w:spacing w:line="500" w:lineRule="exact"/>
              <w:jc w:val="cente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朗达壹号院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bottom w:val="single" w:color="auto" w:sz="4" w:space="0"/>
            </w:tcBorders>
            <w:vAlign w:val="center"/>
          </w:tcPr>
          <w:p>
            <w:pPr>
              <w:spacing w:line="500" w:lineRule="exact"/>
              <w:jc w:val="center"/>
              <w:rPr>
                <w:rFonts w:ascii="宋体"/>
                <w:b/>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荷塘月色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2300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西城逸景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bottom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福锦苑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显示器</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云溪美地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37</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37</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37</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1900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ascii="宋体" w:hAnsi="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馨隆花苑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尚海滩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碧水嘉园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200万声光警戒红外定焦海螺网络摄像机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IPC电源</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4G流量费与软件平台费、系统接入专网费、运维服务费</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2.4G网桥</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16路硬盘录像机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4T硬盘</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8口交换机</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弱电防水箱</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6口防水插座</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辅材及接插件</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超6类网线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电源线</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550</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0032" w:type="dxa"/>
            <w:gridSpan w:val="9"/>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其他设备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前端智能终端</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restart"/>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该部分完全响应招标文件第四章采购需求中技术参数所有条款</w:t>
            </w: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6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高清摄像头</w:t>
            </w:r>
          </w:p>
        </w:tc>
        <w:tc>
          <w:tcPr>
            <w:tcW w:w="993" w:type="dxa"/>
            <w:tcBorders>
              <w:top w:val="single" w:color="auto" w:sz="4" w:space="0"/>
            </w:tcBorders>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1842" w:type="dxa"/>
            <w:vMerge w:val="continue"/>
            <w:vAlign w:val="center"/>
          </w:tcPr>
          <w:p>
            <w:pPr>
              <w:spacing w:line="500" w:lineRule="exact"/>
              <w:jc w:val="center"/>
              <w:rPr>
                <w:rFonts w:ascii="宋体"/>
                <w:color w:val="000000" w:themeColor="text1"/>
                <w:sz w:val="24"/>
                <w:szCs w:val="24"/>
                <w14:textFill>
                  <w14:solidFill>
                    <w14:schemeClr w14:val="tx1"/>
                  </w14:solidFill>
                </w14:textFill>
              </w:rPr>
            </w:pPr>
          </w:p>
        </w:tc>
        <w:tc>
          <w:tcPr>
            <w:tcW w:w="8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c>
          <w:tcPr>
            <w:tcW w:w="993" w:type="dxa"/>
            <w:vAlign w:val="center"/>
          </w:tcPr>
          <w:p>
            <w:pPr>
              <w:spacing w:line="500" w:lineRule="exact"/>
              <w:jc w:val="center"/>
              <w:rPr>
                <w:rFonts w:ascii="宋体" w:hAnsi="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2376" w:type="dxa"/>
            <w:gridSpan w:val="2"/>
            <w:vAlign w:val="center"/>
          </w:tcPr>
          <w:p>
            <w:pPr>
              <w:spacing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合计</w:t>
            </w:r>
          </w:p>
        </w:tc>
        <w:tc>
          <w:tcPr>
            <w:tcW w:w="7656" w:type="dxa"/>
            <w:gridSpan w:val="7"/>
            <w:vAlign w:val="center"/>
          </w:tcPr>
          <w:p>
            <w:pPr>
              <w:spacing w:line="500" w:lineRule="exact"/>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人民币（大写）</w:t>
            </w:r>
            <w:r>
              <w:rPr>
                <w:rFonts w:hint="eastAsia" w:ascii="新宋体" w:hAnsi="新宋体" w:eastAsia="新宋体"/>
                <w:b/>
                <w:sz w:val="24"/>
                <w:u w:val="single"/>
              </w:rPr>
              <w:t xml:space="preserve">                  </w:t>
            </w:r>
            <w:r>
              <w:rPr>
                <w:rFonts w:hint="eastAsia" w:ascii="宋体" w:hAnsi="宋体"/>
                <w:b/>
                <w:color w:val="000000" w:themeColor="text1"/>
                <w:sz w:val="24"/>
                <w:szCs w:val="24"/>
                <w14:textFill>
                  <w14:solidFill>
                    <w14:schemeClr w14:val="tx1"/>
                  </w14:solidFill>
                </w14:textFill>
              </w:rPr>
              <w:t>元整</w:t>
            </w:r>
            <w:r>
              <w:rPr>
                <w:rFonts w:hint="eastAsia" w:ascii="新宋体" w:hAnsi="新宋体" w:eastAsia="新宋体"/>
                <w:b/>
                <w:sz w:val="24"/>
              </w:rPr>
              <w:t>（￥</w:t>
            </w:r>
            <w:r>
              <w:rPr>
                <w:rFonts w:hint="eastAsia" w:ascii="新宋体" w:hAnsi="新宋体" w:eastAsia="新宋体"/>
                <w:b/>
                <w:sz w:val="24"/>
                <w:u w:val="single"/>
              </w:rPr>
              <w:t xml:space="preserve">         </w:t>
            </w:r>
            <w:r>
              <w:rPr>
                <w:rFonts w:hint="eastAsia" w:ascii="新宋体" w:hAnsi="新宋体" w:eastAsia="新宋体"/>
                <w:b/>
                <w:sz w:val="24"/>
              </w:rPr>
              <w:t>元）</w:t>
            </w:r>
          </w:p>
        </w:tc>
      </w:tr>
    </w:tbl>
    <w:p>
      <w:pPr>
        <w:spacing w:line="800" w:lineRule="exact"/>
        <w:rPr>
          <w:rFonts w:ascii="宋体"/>
          <w:color w:val="auto"/>
          <w:sz w:val="24"/>
          <w:szCs w:val="24"/>
        </w:rPr>
      </w:pPr>
      <w:r>
        <w:rPr>
          <w:rFonts w:hint="eastAsia" w:ascii="宋体" w:hAnsi="宋体"/>
          <w:b/>
          <w:color w:val="auto"/>
          <w:sz w:val="24"/>
          <w:szCs w:val="24"/>
        </w:rPr>
        <w:t>法定代表人或授权代表签字：</w:t>
      </w:r>
    </w:p>
    <w:p>
      <w:pPr>
        <w:spacing w:line="500" w:lineRule="exact"/>
        <w:ind w:firstLine="480" w:firstLineChars="200"/>
        <w:rPr>
          <w:rFonts w:ascii="宋体"/>
          <w:bCs/>
          <w:color w:val="auto"/>
          <w:sz w:val="24"/>
          <w:szCs w:val="24"/>
        </w:rPr>
      </w:pPr>
      <w:r>
        <w:rPr>
          <w:rFonts w:hint="eastAsia" w:ascii="宋体" w:hAnsi="宋体"/>
          <w:color w:val="000000" w:themeColor="text1"/>
          <w:sz w:val="24"/>
          <w:szCs w:val="24"/>
          <w14:textFill>
            <w14:solidFill>
              <w14:schemeClr w14:val="tx1"/>
            </w14:solidFill>
          </w14:textFill>
        </w:rPr>
        <w:t>注：招标报价采用总承包方式，投标人根据现场实际情况、采购人提供的采购清单、自身实力、结合市场行情报价，此报价应包括为完成招标文件、采购清单中确定的所有内容。投标人应充分考虑为完成上述内容所必须的全部设备并进行相关服务所需的所有费用，即主要包括（但不限于）：设备价格【含全套设备（包括主设备、配套设备、配套软件、配套耗材、附件、配件等）、备品备件、专用工具、技术资料等】、直接和间接成本费、材料损耗费、劳务费、垃圾清运费、包装费、运杂费（含运输费）、装卸费、安装调试费、保修费、保险费、配合费、安装费、测试验收费、检测费、技术（含操作、维护等）培训、运行维护及售后服务费、管理费、税金、利润、风险费、成品保护费、不可预见费及其他一切相关费用等所需的全部费用，凡漏项或少计均视为优惠，采购人不另行增加费用。各类风险和政策性调整等风险已包括在投标报价中，最终结算时除合同约定调整外一律不予调整。</w:t>
      </w:r>
    </w:p>
    <w:p>
      <w:pPr>
        <w:spacing w:line="500" w:lineRule="exact"/>
        <w:ind w:firstLine="480" w:firstLineChars="200"/>
        <w:rPr>
          <w:rFonts w:ascii="宋体"/>
          <w:color w:val="auto"/>
          <w:sz w:val="24"/>
          <w:szCs w:val="24"/>
        </w:rPr>
      </w:pPr>
      <w:r>
        <w:rPr>
          <w:rFonts w:hint="eastAsia" w:ascii="宋体" w:hAnsi="宋体"/>
          <w:color w:val="auto"/>
          <w:sz w:val="24"/>
          <w:szCs w:val="24"/>
        </w:rPr>
        <w:t>投标报价不得高于预算价。</w:t>
      </w:r>
    </w:p>
    <w:p>
      <w:pPr>
        <w:spacing w:line="500" w:lineRule="exact"/>
        <w:jc w:val="both"/>
        <w:rPr>
          <w:rFonts w:ascii="宋体" w:hAnsi="宋体"/>
          <w:b/>
          <w:color w:val="auto"/>
          <w:sz w:val="36"/>
          <w:szCs w:val="36"/>
        </w:rPr>
      </w:pPr>
    </w:p>
    <w:bookmarkEnd w:id="163"/>
    <w:p>
      <w:pPr>
        <w:jc w:val="both"/>
        <w:rPr>
          <w:rFonts w:hint="eastAsia" w:ascii="宋体" w:hAnsi="宋体"/>
          <w:b/>
          <w:bCs/>
          <w:color w:val="000000"/>
          <w:sz w:val="21"/>
          <w:szCs w:val="21"/>
        </w:rPr>
      </w:pPr>
      <w:bookmarkStart w:id="164" w:name="_Toc462564146"/>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pStyle w:val="2"/>
        <w:rPr>
          <w:rFonts w:hint="eastAsia" w:ascii="宋体" w:hAnsi="宋体"/>
          <w:b/>
          <w:bCs/>
          <w:color w:val="000000"/>
          <w:sz w:val="21"/>
          <w:szCs w:val="21"/>
        </w:rPr>
      </w:pPr>
    </w:p>
    <w:p>
      <w:pPr>
        <w:jc w:val="both"/>
        <w:rPr>
          <w:rFonts w:hint="eastAsia" w:ascii="宋体" w:hAnsi="宋体"/>
          <w:b/>
          <w:bCs/>
          <w:color w:val="000000"/>
          <w:sz w:val="28"/>
          <w:szCs w:val="28"/>
        </w:rPr>
      </w:pPr>
      <w:r>
        <w:rPr>
          <w:rFonts w:hint="eastAsia" w:ascii="宋体" w:hAnsi="宋体"/>
          <w:b/>
          <w:bCs/>
          <w:color w:val="000000"/>
          <w:sz w:val="21"/>
          <w:szCs w:val="21"/>
        </w:rPr>
        <w:t>附1</w:t>
      </w:r>
    </w:p>
    <w:p>
      <w:pPr>
        <w:spacing w:line="560" w:lineRule="exact"/>
        <w:jc w:val="center"/>
        <w:rPr>
          <w:rFonts w:hint="eastAsia" w:ascii="宋体" w:hAnsi="宋体"/>
          <w:b/>
          <w:bCs/>
          <w:color w:val="000000"/>
          <w:sz w:val="32"/>
          <w:szCs w:val="32"/>
        </w:rPr>
      </w:pPr>
      <w:r>
        <w:rPr>
          <w:rFonts w:hint="eastAsia" w:ascii="宋体" w:hAnsi="宋体"/>
          <w:b/>
          <w:bCs/>
          <w:color w:val="000000"/>
          <w:sz w:val="32"/>
          <w:szCs w:val="32"/>
        </w:rPr>
        <w:t>中小企业声明函（货物）</w:t>
      </w:r>
    </w:p>
    <w:p>
      <w:pPr>
        <w:spacing w:line="560" w:lineRule="exact"/>
        <w:jc w:val="center"/>
        <w:rPr>
          <w:rFonts w:hint="eastAsia" w:ascii="宋体" w:hAnsi="宋体"/>
          <w:b/>
          <w:bCs/>
          <w:color w:val="000000"/>
          <w:sz w:val="32"/>
          <w:szCs w:val="32"/>
        </w:rPr>
      </w:pP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w:t>
      </w:r>
      <w:r>
        <w:rPr>
          <w:rFonts w:hint="eastAsia" w:ascii="宋体" w:hAnsi="宋体" w:eastAsia="宋体" w:cs="宋体"/>
          <w:i/>
          <w:iCs/>
          <w:sz w:val="28"/>
          <w:szCs w:val="28"/>
          <w:u w:val="single"/>
        </w:rPr>
        <w:t>（单位名称）</w:t>
      </w:r>
      <w:r>
        <w:rPr>
          <w:rFonts w:hint="eastAsia" w:ascii="宋体" w:hAnsi="宋体" w:eastAsia="宋体" w:cs="宋体"/>
          <w:sz w:val="28"/>
          <w:szCs w:val="28"/>
        </w:rPr>
        <w:t>的</w:t>
      </w:r>
      <w:r>
        <w:rPr>
          <w:rFonts w:hint="eastAsia" w:ascii="宋体" w:hAnsi="宋体" w:eastAsia="宋体" w:cs="宋体"/>
          <w:i/>
          <w:iCs/>
          <w:sz w:val="28"/>
          <w:szCs w:val="28"/>
          <w:u w:val="single"/>
        </w:rPr>
        <w:t>（项目名称）</w:t>
      </w:r>
      <w:r>
        <w:rPr>
          <w:rFonts w:hint="eastAsia" w:ascii="宋体" w:hAnsi="宋体" w:eastAsia="宋体" w:cs="宋体"/>
          <w:sz w:val="28"/>
          <w:szCs w:val="28"/>
        </w:rPr>
        <w:t>采购活动，提供的货物全部由符合政策要求的中小企业制造。相关企业（含联合体中的中小企业、签订分包意向协议的中小企业）的具体情况如下：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i/>
          <w:iCs/>
          <w:sz w:val="28"/>
          <w:szCs w:val="28"/>
          <w:u w:val="single"/>
        </w:rPr>
        <w:t xml:space="preserve">（标的名称） </w:t>
      </w:r>
      <w:r>
        <w:rPr>
          <w:rFonts w:hint="eastAsia" w:ascii="宋体" w:hAnsi="宋体" w:eastAsia="宋体" w:cs="宋体"/>
          <w:sz w:val="28"/>
          <w:szCs w:val="28"/>
        </w:rPr>
        <w:t>，属于</w:t>
      </w:r>
      <w:r>
        <w:rPr>
          <w:rFonts w:hint="eastAsia" w:ascii="宋体" w:hAnsi="宋体" w:eastAsia="宋体" w:cs="宋体"/>
          <w:i/>
          <w:iCs/>
          <w:sz w:val="28"/>
          <w:szCs w:val="28"/>
          <w:u w:val="single"/>
        </w:rPr>
        <w:t>（采购文件中明确的所属行业）</w:t>
      </w:r>
      <w:r>
        <w:rPr>
          <w:rFonts w:hint="eastAsia" w:ascii="宋体" w:hAnsi="宋体" w:eastAsia="宋体" w:cs="宋体"/>
          <w:sz w:val="28"/>
          <w:szCs w:val="28"/>
        </w:rPr>
        <w:t>行业；制造商为</w:t>
      </w:r>
      <w:r>
        <w:rPr>
          <w:rFonts w:hint="eastAsia" w:ascii="宋体" w:hAnsi="宋体" w:eastAsia="宋体" w:cs="宋体"/>
          <w:i/>
          <w:iCs/>
          <w:sz w:val="28"/>
          <w:szCs w:val="28"/>
          <w:u w:val="single"/>
        </w:rPr>
        <w:t>（企业名称）</w:t>
      </w:r>
      <w:r>
        <w:rPr>
          <w:rFonts w:hint="eastAsia" w:ascii="宋体" w:hAnsi="宋体" w:eastAsia="宋体" w:cs="宋体"/>
          <w:sz w:val="28"/>
          <w:szCs w:val="28"/>
        </w:rPr>
        <w:t>，从业人员</w:t>
      </w:r>
      <w:r>
        <w:rPr>
          <w:rFonts w:hint="eastAsia" w:ascii="宋体" w:hAnsi="宋体" w:eastAsia="宋体" w:cs="宋体"/>
          <w:i/>
          <w:iCs/>
          <w:sz w:val="28"/>
          <w:szCs w:val="28"/>
          <w:u w:val="single"/>
          <w:lang w:val="en-US" w:eastAsia="zh-CN"/>
        </w:rPr>
        <w:t xml:space="preserve">        </w:t>
      </w:r>
      <w:r>
        <w:rPr>
          <w:rFonts w:hint="eastAsia" w:ascii="宋体" w:hAnsi="宋体" w:eastAsia="宋体" w:cs="宋体"/>
          <w:i w:val="0"/>
          <w:iCs w:val="0"/>
          <w:sz w:val="28"/>
          <w:szCs w:val="28"/>
          <w:u w:val="none"/>
          <w:lang w:val="en-US" w:eastAsia="zh-CN"/>
        </w:rPr>
        <w:t>人</w:t>
      </w:r>
      <w:r>
        <w:rPr>
          <w:rFonts w:hint="eastAsia" w:ascii="宋体" w:hAnsi="宋体" w:eastAsia="宋体" w:cs="宋体"/>
          <w:sz w:val="28"/>
          <w:szCs w:val="28"/>
        </w:rPr>
        <w:t>，营业收入为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万元，资产总额为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万元，属于</w:t>
      </w:r>
      <w:r>
        <w:rPr>
          <w:rFonts w:hint="eastAsia" w:ascii="宋体" w:hAnsi="宋体" w:eastAsia="宋体" w:cs="宋体"/>
          <w:i/>
          <w:iCs/>
          <w:sz w:val="28"/>
          <w:szCs w:val="28"/>
          <w:u w:val="single"/>
        </w:rPr>
        <w:t>（中型企业、小型企业、微型企业）</w:t>
      </w:r>
      <w:r>
        <w:rPr>
          <w:rFonts w:hint="eastAsia" w:ascii="宋体" w:hAnsi="宋体" w:eastAsia="宋体" w:cs="宋体"/>
          <w:sz w:val="28"/>
          <w:szCs w:val="28"/>
        </w:rPr>
        <w:t>；</w:t>
      </w:r>
    </w:p>
    <w:p>
      <w:pPr>
        <w:keepNext w:val="0"/>
        <w:keepLines w:val="0"/>
        <w:pageBreakBefore w:val="0"/>
        <w:widowControl/>
        <w:numPr>
          <w:ilvl w:val="0"/>
          <w:numId w:val="27"/>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i/>
          <w:iCs/>
          <w:sz w:val="28"/>
          <w:szCs w:val="28"/>
          <w:u w:val="single"/>
        </w:rPr>
        <w:t xml:space="preserve">（标的名称） </w:t>
      </w:r>
      <w:r>
        <w:rPr>
          <w:rFonts w:hint="eastAsia" w:ascii="宋体" w:hAnsi="宋体" w:eastAsia="宋体" w:cs="宋体"/>
          <w:sz w:val="28"/>
          <w:szCs w:val="28"/>
        </w:rPr>
        <w:t>，属于</w:t>
      </w:r>
      <w:r>
        <w:rPr>
          <w:rFonts w:hint="eastAsia" w:ascii="宋体" w:hAnsi="宋体" w:eastAsia="宋体" w:cs="宋体"/>
          <w:i/>
          <w:iCs/>
          <w:sz w:val="28"/>
          <w:szCs w:val="28"/>
          <w:u w:val="single"/>
        </w:rPr>
        <w:t>（采购文件中明确的所属行业）</w:t>
      </w:r>
      <w:r>
        <w:rPr>
          <w:rFonts w:hint="eastAsia" w:ascii="宋体" w:hAnsi="宋体" w:eastAsia="宋体" w:cs="宋体"/>
          <w:sz w:val="28"/>
          <w:szCs w:val="28"/>
        </w:rPr>
        <w:t>行业；制造商为</w:t>
      </w:r>
      <w:r>
        <w:rPr>
          <w:rFonts w:hint="eastAsia" w:ascii="宋体" w:hAnsi="宋体" w:eastAsia="宋体" w:cs="宋体"/>
          <w:i/>
          <w:iCs/>
          <w:sz w:val="28"/>
          <w:szCs w:val="28"/>
          <w:u w:val="single"/>
        </w:rPr>
        <w:t>（企业名称）</w:t>
      </w:r>
      <w:r>
        <w:rPr>
          <w:rFonts w:hint="eastAsia" w:ascii="宋体" w:hAnsi="宋体" w:eastAsia="宋体" w:cs="宋体"/>
          <w:sz w:val="28"/>
          <w:szCs w:val="28"/>
        </w:rPr>
        <w:t>，从业人员</w:t>
      </w:r>
      <w:r>
        <w:rPr>
          <w:rFonts w:hint="eastAsia" w:ascii="宋体" w:hAnsi="宋体" w:eastAsia="宋体" w:cs="宋体"/>
          <w:i/>
          <w:iCs/>
          <w:sz w:val="28"/>
          <w:szCs w:val="28"/>
          <w:u w:val="single"/>
          <w:lang w:val="en-US" w:eastAsia="zh-CN"/>
        </w:rPr>
        <w:t xml:space="preserve">        </w:t>
      </w:r>
      <w:r>
        <w:rPr>
          <w:rFonts w:hint="eastAsia" w:ascii="宋体" w:hAnsi="宋体" w:eastAsia="宋体" w:cs="宋体"/>
          <w:i w:val="0"/>
          <w:iCs w:val="0"/>
          <w:sz w:val="28"/>
          <w:szCs w:val="28"/>
          <w:u w:val="none"/>
          <w:lang w:val="en-US" w:eastAsia="zh-CN"/>
        </w:rPr>
        <w:t>人</w:t>
      </w:r>
      <w:r>
        <w:rPr>
          <w:rFonts w:hint="eastAsia" w:ascii="宋体" w:hAnsi="宋体" w:eastAsia="宋体" w:cs="宋体"/>
          <w:sz w:val="28"/>
          <w:szCs w:val="28"/>
        </w:rPr>
        <w:t>，营业收入为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万元，资产总额为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万元，属于</w:t>
      </w:r>
      <w:r>
        <w:rPr>
          <w:rFonts w:hint="eastAsia" w:ascii="宋体" w:hAnsi="宋体" w:eastAsia="宋体" w:cs="宋体"/>
          <w:i/>
          <w:iCs/>
          <w:sz w:val="28"/>
          <w:szCs w:val="28"/>
          <w:u w:val="single"/>
        </w:rPr>
        <w:t>（中型企业、小型企业、微型企业）</w:t>
      </w:r>
      <w:r>
        <w:rPr>
          <w:rFonts w:hint="eastAsia" w:ascii="宋体" w:hAnsi="宋体" w:eastAsia="宋体" w:cs="宋体"/>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widowControl/>
        <w:spacing w:beforeLines="0" w:afterLines="0"/>
        <w:ind w:firstLine="4760" w:firstLineChars="1700"/>
        <w:jc w:val="left"/>
        <w:rPr>
          <w:rFonts w:hint="eastAsia" w:ascii="宋体" w:hAnsi="宋体" w:eastAsia="宋体" w:cs="宋体"/>
          <w:sz w:val="28"/>
          <w:szCs w:val="28"/>
        </w:rPr>
      </w:pPr>
      <w:r>
        <w:rPr>
          <w:rFonts w:hint="eastAsia" w:ascii="宋体" w:hAnsi="宋体" w:eastAsia="宋体" w:cs="宋体"/>
          <w:sz w:val="28"/>
          <w:szCs w:val="28"/>
        </w:rPr>
        <w:t>企业名称（盖章）：</w:t>
      </w:r>
    </w:p>
    <w:p>
      <w:pPr>
        <w:widowControl/>
        <w:spacing w:beforeLines="0" w:afterLines="0"/>
        <w:ind w:firstLine="4760" w:firstLineChars="1700"/>
        <w:jc w:val="left"/>
        <w:rPr>
          <w:rFonts w:hint="eastAsia" w:ascii="宋体" w:hAnsi="宋体" w:eastAsia="宋体" w:cs="宋体"/>
          <w:sz w:val="28"/>
          <w:szCs w:val="28"/>
        </w:rPr>
      </w:pPr>
      <w:r>
        <w:rPr>
          <w:rFonts w:hint="eastAsia" w:ascii="宋体" w:hAnsi="宋体" w:eastAsia="宋体" w:cs="宋体"/>
          <w:sz w:val="28"/>
          <w:szCs w:val="28"/>
        </w:rPr>
        <w:t>日期：</w:t>
      </w:r>
    </w:p>
    <w:p>
      <w:pPr>
        <w:spacing w:line="560" w:lineRule="exact"/>
        <w:jc w:val="center"/>
        <w:rPr>
          <w:rFonts w:hint="eastAsia" w:ascii="宋体" w:hAnsi="宋体"/>
          <w:b/>
          <w:bCs/>
          <w:color w:val="000000"/>
          <w:sz w:val="21"/>
          <w:szCs w:val="21"/>
        </w:rPr>
      </w:pPr>
      <w:r>
        <w:rPr>
          <w:rFonts w:hint="eastAsia" w:ascii="宋体" w:hAnsi="宋体"/>
          <w:b/>
          <w:bCs/>
          <w:color w:val="000000"/>
          <w:sz w:val="21"/>
          <w:szCs w:val="21"/>
        </w:rPr>
        <w:t>从业人员、营业收入、资产总额填报上一年度数据，无上一年度数据的新成立企业可不填报。</w:t>
      </w:r>
    </w:p>
    <w:p>
      <w:pPr>
        <w:spacing w:line="560" w:lineRule="exact"/>
        <w:jc w:val="center"/>
        <w:rPr>
          <w:rFonts w:hint="eastAsia" w:ascii="宋体" w:hAnsi="宋体"/>
          <w:b/>
          <w:bCs/>
          <w:color w:val="000000"/>
          <w:sz w:val="24"/>
          <w:szCs w:val="24"/>
        </w:rPr>
      </w:pPr>
    </w:p>
    <w:p>
      <w:pPr>
        <w:spacing w:line="560" w:lineRule="exact"/>
        <w:jc w:val="center"/>
        <w:rPr>
          <w:rFonts w:hint="eastAsia" w:ascii="宋体" w:hAnsi="宋体"/>
          <w:b/>
          <w:bCs/>
          <w:color w:val="000000"/>
          <w:sz w:val="24"/>
          <w:szCs w:val="24"/>
        </w:rPr>
      </w:pPr>
    </w:p>
    <w:p>
      <w:pPr>
        <w:spacing w:line="560" w:lineRule="exact"/>
        <w:jc w:val="center"/>
        <w:rPr>
          <w:rFonts w:hint="eastAsia" w:ascii="宋体" w:hAnsi="宋体"/>
          <w:b/>
          <w:bCs/>
          <w:color w:val="000000"/>
          <w:sz w:val="24"/>
          <w:szCs w:val="24"/>
        </w:rPr>
      </w:pPr>
    </w:p>
    <w:p>
      <w:pPr>
        <w:spacing w:line="560" w:lineRule="exact"/>
        <w:jc w:val="center"/>
        <w:rPr>
          <w:rFonts w:hint="eastAsia" w:ascii="宋体" w:hAnsi="宋体"/>
          <w:b/>
          <w:bCs/>
          <w:color w:val="000000"/>
          <w:sz w:val="32"/>
          <w:szCs w:val="32"/>
        </w:rPr>
      </w:pPr>
      <w:r>
        <w:rPr>
          <w:rFonts w:hint="eastAsia" w:ascii="宋体" w:hAnsi="宋体"/>
          <w:b/>
          <w:bCs/>
          <w:color w:val="000000"/>
          <w:sz w:val="32"/>
          <w:szCs w:val="32"/>
        </w:rPr>
        <w:t>中小企业声明函（</w:t>
      </w:r>
      <w:r>
        <w:rPr>
          <w:rFonts w:hint="eastAsia" w:ascii="宋体" w:hAnsi="宋体"/>
          <w:b/>
          <w:bCs/>
          <w:color w:val="000000"/>
          <w:sz w:val="32"/>
          <w:szCs w:val="32"/>
          <w:lang w:val="en-US" w:eastAsia="zh-CN"/>
        </w:rPr>
        <w:t>工程、服务</w:t>
      </w:r>
      <w:r>
        <w:rPr>
          <w:rFonts w:hint="eastAsia" w:ascii="宋体" w:hAnsi="宋体"/>
          <w:b/>
          <w:bCs/>
          <w:color w:val="000000"/>
          <w:sz w:val="32"/>
          <w:szCs w:val="32"/>
        </w:rPr>
        <w:t>）</w:t>
      </w:r>
    </w:p>
    <w:p>
      <w:pPr>
        <w:spacing w:line="560" w:lineRule="exact"/>
        <w:jc w:val="both"/>
        <w:rPr>
          <w:rFonts w:hint="eastAsia" w:ascii="宋体" w:hAnsi="宋体"/>
          <w:b/>
          <w:bCs/>
          <w:color w:val="000000"/>
          <w:sz w:val="28"/>
          <w:szCs w:val="28"/>
        </w:rPr>
      </w:pP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i/>
          <w:iCs/>
          <w:sz w:val="28"/>
          <w:szCs w:val="28"/>
          <w:u w:val="single"/>
        </w:rPr>
        <w:t xml:space="preserve">（标的名称） </w:t>
      </w:r>
      <w:r>
        <w:rPr>
          <w:rFonts w:hint="eastAsia" w:ascii="宋体" w:hAnsi="宋体" w:eastAsia="宋体" w:cs="宋体"/>
          <w:sz w:val="28"/>
          <w:szCs w:val="28"/>
        </w:rPr>
        <w:t>，属于</w:t>
      </w:r>
      <w:r>
        <w:rPr>
          <w:rFonts w:hint="eastAsia" w:ascii="宋体" w:hAnsi="宋体" w:eastAsia="宋体" w:cs="宋体"/>
          <w:i/>
          <w:iCs/>
          <w:sz w:val="28"/>
          <w:szCs w:val="28"/>
          <w:u w:val="single"/>
        </w:rPr>
        <w:t>（采购文件中明确的所属行业）</w:t>
      </w:r>
      <w:r>
        <w:rPr>
          <w:rFonts w:hint="eastAsia" w:ascii="宋体" w:hAnsi="宋体" w:eastAsia="宋体" w:cs="宋体"/>
          <w:sz w:val="28"/>
          <w:szCs w:val="28"/>
        </w:rPr>
        <w:t>行业；制造商为</w:t>
      </w:r>
      <w:r>
        <w:rPr>
          <w:rFonts w:hint="eastAsia" w:ascii="宋体" w:hAnsi="宋体" w:eastAsia="宋体" w:cs="宋体"/>
          <w:i/>
          <w:iCs/>
          <w:sz w:val="28"/>
          <w:szCs w:val="28"/>
          <w:u w:val="single"/>
        </w:rPr>
        <w:t>（企业名称）</w:t>
      </w:r>
      <w:r>
        <w:rPr>
          <w:rFonts w:hint="eastAsia" w:ascii="宋体" w:hAnsi="宋体" w:eastAsia="宋体" w:cs="宋体"/>
          <w:sz w:val="28"/>
          <w:szCs w:val="28"/>
        </w:rPr>
        <w:t>，从业人员</w:t>
      </w:r>
      <w:r>
        <w:rPr>
          <w:rFonts w:hint="eastAsia" w:ascii="宋体" w:hAnsi="宋体" w:eastAsia="宋体" w:cs="宋体"/>
          <w:i/>
          <w:iCs/>
          <w:sz w:val="28"/>
          <w:szCs w:val="28"/>
          <w:u w:val="single"/>
          <w:lang w:val="en-US" w:eastAsia="zh-CN"/>
        </w:rPr>
        <w:t xml:space="preserve">        </w:t>
      </w:r>
      <w:r>
        <w:rPr>
          <w:rFonts w:hint="eastAsia" w:ascii="宋体" w:hAnsi="宋体" w:eastAsia="宋体" w:cs="宋体"/>
          <w:i w:val="0"/>
          <w:iCs w:val="0"/>
          <w:sz w:val="28"/>
          <w:szCs w:val="28"/>
          <w:u w:val="none"/>
          <w:lang w:val="en-US" w:eastAsia="zh-CN"/>
        </w:rPr>
        <w:t>人</w:t>
      </w:r>
      <w:r>
        <w:rPr>
          <w:rFonts w:hint="eastAsia" w:ascii="宋体" w:hAnsi="宋体" w:eastAsia="宋体" w:cs="宋体"/>
          <w:sz w:val="28"/>
          <w:szCs w:val="28"/>
        </w:rPr>
        <w:t>，营业收入为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万元，资产总额为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万元，属于</w:t>
      </w:r>
      <w:r>
        <w:rPr>
          <w:rFonts w:hint="eastAsia" w:ascii="宋体" w:hAnsi="宋体" w:eastAsia="宋体" w:cs="宋体"/>
          <w:i/>
          <w:iCs/>
          <w:sz w:val="28"/>
          <w:szCs w:val="28"/>
          <w:u w:val="single"/>
        </w:rPr>
        <w:t>（中型企业、小型企业、微型企业）</w:t>
      </w:r>
      <w:r>
        <w:rPr>
          <w:rFonts w:hint="eastAsia" w:ascii="宋体" w:hAnsi="宋体" w:eastAsia="宋体" w:cs="宋体"/>
          <w:sz w:val="28"/>
          <w:szCs w:val="28"/>
        </w:rPr>
        <w:t>；</w:t>
      </w:r>
    </w:p>
    <w:p>
      <w:pPr>
        <w:keepNext w:val="0"/>
        <w:keepLines w:val="0"/>
        <w:pageBreakBefore w:val="0"/>
        <w:widowControl/>
        <w:numPr>
          <w:ilvl w:val="0"/>
          <w:numId w:val="27"/>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i/>
          <w:iCs/>
          <w:sz w:val="28"/>
          <w:szCs w:val="28"/>
          <w:u w:val="single"/>
        </w:rPr>
        <w:t xml:space="preserve">（标的名称） </w:t>
      </w:r>
      <w:r>
        <w:rPr>
          <w:rFonts w:hint="eastAsia" w:ascii="宋体" w:hAnsi="宋体" w:eastAsia="宋体" w:cs="宋体"/>
          <w:sz w:val="28"/>
          <w:szCs w:val="28"/>
        </w:rPr>
        <w:t>，属于</w:t>
      </w:r>
      <w:r>
        <w:rPr>
          <w:rFonts w:hint="eastAsia" w:ascii="宋体" w:hAnsi="宋体" w:eastAsia="宋体" w:cs="宋体"/>
          <w:i/>
          <w:iCs/>
          <w:sz w:val="28"/>
          <w:szCs w:val="28"/>
          <w:u w:val="single"/>
        </w:rPr>
        <w:t>（采购文件中明确的所属行业）</w:t>
      </w:r>
      <w:r>
        <w:rPr>
          <w:rFonts w:hint="eastAsia" w:ascii="宋体" w:hAnsi="宋体" w:eastAsia="宋体" w:cs="宋体"/>
          <w:sz w:val="28"/>
          <w:szCs w:val="28"/>
        </w:rPr>
        <w:t>行业；制造商为</w:t>
      </w:r>
      <w:r>
        <w:rPr>
          <w:rFonts w:hint="eastAsia" w:ascii="宋体" w:hAnsi="宋体" w:eastAsia="宋体" w:cs="宋体"/>
          <w:i/>
          <w:iCs/>
          <w:sz w:val="28"/>
          <w:szCs w:val="28"/>
          <w:u w:val="single"/>
        </w:rPr>
        <w:t>（企业名称）</w:t>
      </w:r>
      <w:r>
        <w:rPr>
          <w:rFonts w:hint="eastAsia" w:ascii="宋体" w:hAnsi="宋体" w:eastAsia="宋体" w:cs="宋体"/>
          <w:sz w:val="28"/>
          <w:szCs w:val="28"/>
        </w:rPr>
        <w:t>，从业人员</w:t>
      </w:r>
      <w:r>
        <w:rPr>
          <w:rFonts w:hint="eastAsia" w:ascii="宋体" w:hAnsi="宋体" w:eastAsia="宋体" w:cs="宋体"/>
          <w:i/>
          <w:iCs/>
          <w:sz w:val="28"/>
          <w:szCs w:val="28"/>
          <w:u w:val="single"/>
          <w:lang w:val="en-US" w:eastAsia="zh-CN"/>
        </w:rPr>
        <w:t xml:space="preserve">        </w:t>
      </w:r>
      <w:r>
        <w:rPr>
          <w:rFonts w:hint="eastAsia" w:ascii="宋体" w:hAnsi="宋体" w:eastAsia="宋体" w:cs="宋体"/>
          <w:i w:val="0"/>
          <w:iCs w:val="0"/>
          <w:sz w:val="28"/>
          <w:szCs w:val="28"/>
          <w:u w:val="none"/>
          <w:lang w:val="en-US" w:eastAsia="zh-CN"/>
        </w:rPr>
        <w:t>人</w:t>
      </w:r>
      <w:r>
        <w:rPr>
          <w:rFonts w:hint="eastAsia" w:ascii="宋体" w:hAnsi="宋体" w:eastAsia="宋体" w:cs="宋体"/>
          <w:sz w:val="28"/>
          <w:szCs w:val="28"/>
        </w:rPr>
        <w:t>，营业收入为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万元，资产总额为</w:t>
      </w:r>
      <w:r>
        <w:rPr>
          <w:rFonts w:hint="eastAsia" w:ascii="宋体" w:hAnsi="宋体" w:eastAsia="宋体" w:cs="宋体"/>
          <w:i/>
          <w:iCs/>
          <w:sz w:val="28"/>
          <w:szCs w:val="28"/>
          <w:u w:val="single"/>
          <w:lang w:val="en-US" w:eastAsia="zh-CN"/>
        </w:rPr>
        <w:t xml:space="preserve">        </w:t>
      </w:r>
      <w:r>
        <w:rPr>
          <w:rFonts w:hint="eastAsia" w:ascii="宋体" w:hAnsi="宋体" w:eastAsia="宋体" w:cs="宋体"/>
          <w:sz w:val="28"/>
          <w:szCs w:val="28"/>
        </w:rPr>
        <w:t>万元，属于</w:t>
      </w:r>
      <w:r>
        <w:rPr>
          <w:rFonts w:hint="eastAsia" w:ascii="宋体" w:hAnsi="宋体" w:eastAsia="宋体" w:cs="宋体"/>
          <w:i/>
          <w:iCs/>
          <w:sz w:val="28"/>
          <w:szCs w:val="28"/>
          <w:u w:val="single"/>
        </w:rPr>
        <w:t>（中型企业、小型企业、微型企业）</w:t>
      </w:r>
      <w:r>
        <w:rPr>
          <w:rFonts w:hint="eastAsia" w:ascii="宋体" w:hAnsi="宋体" w:eastAsia="宋体" w:cs="宋体"/>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widowControl/>
        <w:spacing w:beforeLines="0" w:afterLines="0"/>
        <w:ind w:firstLine="4760" w:firstLineChars="1700"/>
        <w:jc w:val="left"/>
        <w:rPr>
          <w:rFonts w:hint="eastAsia" w:ascii="宋体" w:hAnsi="宋体" w:eastAsia="宋体" w:cs="宋体"/>
          <w:sz w:val="28"/>
          <w:szCs w:val="28"/>
        </w:rPr>
      </w:pPr>
      <w:r>
        <w:rPr>
          <w:rFonts w:hint="eastAsia" w:ascii="宋体" w:hAnsi="宋体" w:eastAsia="宋体" w:cs="宋体"/>
          <w:sz w:val="28"/>
          <w:szCs w:val="28"/>
        </w:rPr>
        <w:t>企业名称（盖章）：</w:t>
      </w:r>
    </w:p>
    <w:p>
      <w:pPr>
        <w:widowControl/>
        <w:spacing w:beforeLines="0" w:afterLines="0"/>
        <w:ind w:firstLine="4760" w:firstLineChars="1700"/>
        <w:jc w:val="left"/>
        <w:rPr>
          <w:rFonts w:hint="eastAsia" w:ascii="宋体" w:hAnsi="宋体" w:eastAsia="宋体" w:cs="宋体"/>
          <w:sz w:val="28"/>
          <w:szCs w:val="28"/>
        </w:rPr>
      </w:pPr>
      <w:r>
        <w:rPr>
          <w:rFonts w:hint="eastAsia" w:ascii="宋体" w:hAnsi="宋体" w:eastAsia="宋体" w:cs="宋体"/>
          <w:sz w:val="28"/>
          <w:szCs w:val="28"/>
        </w:rPr>
        <w:t>日期：</w:t>
      </w:r>
    </w:p>
    <w:p>
      <w:pPr>
        <w:spacing w:line="560" w:lineRule="exact"/>
        <w:jc w:val="center"/>
        <w:rPr>
          <w:rFonts w:hint="eastAsia" w:ascii="宋体" w:hAnsi="宋体" w:eastAsia="宋体" w:cs="Times New Roman"/>
          <w:b/>
          <w:bCs/>
          <w:color w:val="000000"/>
          <w:sz w:val="21"/>
          <w:szCs w:val="21"/>
        </w:rPr>
      </w:pPr>
      <w:r>
        <w:rPr>
          <w:rFonts w:hint="eastAsia" w:ascii="宋体" w:hAnsi="宋体" w:eastAsia="宋体" w:cs="Times New Roman"/>
          <w:b/>
          <w:bCs/>
          <w:color w:val="000000"/>
          <w:sz w:val="21"/>
          <w:szCs w:val="21"/>
        </w:rPr>
        <w:t>从业人员、营业收入、资产总额填报上一年度数据，无上一年度数据的新成立企业可不填报。</w:t>
      </w:r>
    </w:p>
    <w:p>
      <w:pPr>
        <w:spacing w:line="360" w:lineRule="auto"/>
        <w:rPr>
          <w:rFonts w:hint="eastAsia"/>
          <w:b/>
          <w:sz w:val="24"/>
          <w:szCs w:val="24"/>
        </w:rPr>
      </w:pPr>
    </w:p>
    <w:p>
      <w:pPr>
        <w:spacing w:line="360" w:lineRule="auto"/>
        <w:rPr>
          <w:rFonts w:hint="eastAsia"/>
          <w:b/>
          <w:sz w:val="24"/>
          <w:szCs w:val="24"/>
        </w:rPr>
      </w:pPr>
    </w:p>
    <w:p>
      <w:pPr>
        <w:pStyle w:val="2"/>
        <w:rPr>
          <w:rFonts w:hint="eastAsia"/>
        </w:rPr>
      </w:pPr>
    </w:p>
    <w:p>
      <w:pPr>
        <w:spacing w:line="360" w:lineRule="auto"/>
        <w:rPr>
          <w:rFonts w:ascii="宋体" w:hAnsi="宋体"/>
          <w:b/>
          <w:sz w:val="24"/>
          <w:szCs w:val="24"/>
        </w:rPr>
      </w:pPr>
      <w:r>
        <w:rPr>
          <w:rFonts w:hint="eastAsia"/>
          <w:b/>
          <w:sz w:val="24"/>
          <w:szCs w:val="24"/>
        </w:rPr>
        <w:t>附件：</w:t>
      </w:r>
      <w:r>
        <w:rPr>
          <w:rFonts w:hint="eastAsia"/>
          <w:b/>
          <w:sz w:val="24"/>
          <w:szCs w:val="24"/>
          <w:lang w:val="en-US" w:eastAsia="zh-CN"/>
        </w:rPr>
        <w:t>2</w:t>
      </w:r>
      <w:r>
        <w:rPr>
          <w:rFonts w:hint="eastAsia" w:ascii="宋体" w:hAnsi="宋体"/>
          <w:b/>
          <w:sz w:val="24"/>
          <w:szCs w:val="24"/>
        </w:rPr>
        <w:t>残疾人福利性单位声明函</w:t>
      </w:r>
    </w:p>
    <w:p>
      <w:pPr>
        <w:spacing w:line="360" w:lineRule="auto"/>
        <w:rPr>
          <w:rFonts w:ascii="宋体" w:hAnsi="宋体"/>
          <w:b/>
          <w:sz w:val="24"/>
          <w:szCs w:val="24"/>
        </w:rPr>
      </w:pPr>
    </w:p>
    <w:p>
      <w:pPr>
        <w:spacing w:line="360" w:lineRule="auto"/>
        <w:ind w:firstLine="482" w:firstLineChars="200"/>
        <w:jc w:val="center"/>
        <w:rPr>
          <w:rFonts w:ascii="宋体" w:hAnsi="宋体"/>
          <w:b/>
          <w:sz w:val="24"/>
          <w:szCs w:val="24"/>
        </w:rPr>
      </w:pPr>
      <w:r>
        <w:rPr>
          <w:rFonts w:hint="eastAsia" w:ascii="宋体" w:hAnsi="宋体"/>
          <w:b/>
          <w:sz w:val="24"/>
          <w:szCs w:val="24"/>
        </w:rPr>
        <w:t>残疾人福利性单位声明函</w:t>
      </w:r>
    </w:p>
    <w:p>
      <w:pPr>
        <w:spacing w:line="360" w:lineRule="auto"/>
        <w:jc w:val="center"/>
        <w:rPr>
          <w:rFonts w:ascii="宋体" w:hAnsi="宋体"/>
          <w:b/>
          <w:sz w:val="24"/>
          <w:szCs w:val="24"/>
        </w:rPr>
      </w:pPr>
    </w:p>
    <w:p>
      <w:pPr>
        <w:spacing w:line="500" w:lineRule="exact"/>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500" w:lineRule="exact"/>
        <w:ind w:firstLine="3960" w:firstLineChars="1650"/>
        <w:rPr>
          <w:rStyle w:val="108"/>
          <w:sz w:val="24"/>
          <w:szCs w:val="24"/>
          <w:u w:val="single"/>
        </w:rPr>
      </w:pPr>
      <w:r>
        <w:rPr>
          <w:rFonts w:hint="eastAsia" w:ascii="宋体" w:hAnsi="宋体"/>
          <w:kern w:val="0"/>
          <w:sz w:val="24"/>
          <w:szCs w:val="24"/>
        </w:rPr>
        <w:t>残疾人福利性</w:t>
      </w:r>
      <w:r>
        <w:rPr>
          <w:rFonts w:hint="eastAsia" w:ascii="宋体" w:hAnsi="宋体"/>
          <w:sz w:val="24"/>
          <w:szCs w:val="24"/>
        </w:rPr>
        <w:t>单位名称（盖章）：</w:t>
      </w:r>
      <w:r>
        <w:rPr>
          <w:rFonts w:hint="eastAsia" w:ascii="宋体" w:hAnsi="宋体"/>
          <w:sz w:val="24"/>
          <w:szCs w:val="24"/>
          <w:u w:val="single"/>
        </w:rPr>
        <w:t xml:space="preserve">                </w:t>
      </w:r>
    </w:p>
    <w:p>
      <w:pPr>
        <w:spacing w:line="500" w:lineRule="exact"/>
        <w:rPr>
          <w:rFonts w:ascii="宋体"/>
          <w:b/>
          <w:color w:val="auto"/>
          <w:sz w:val="24"/>
          <w:szCs w:val="24"/>
        </w:rPr>
      </w:pPr>
      <w:r>
        <w:rPr>
          <w:rFonts w:hint="eastAsia" w:ascii="宋体" w:hAnsi="宋体"/>
          <w:sz w:val="24"/>
          <w:szCs w:val="24"/>
        </w:rPr>
        <w:t>日</w:t>
      </w:r>
      <w:r>
        <w:rPr>
          <w:rStyle w:val="108"/>
          <w:rFonts w:hint="eastAsia" w:ascii="宋体" w:hAnsi="宋体"/>
          <w:sz w:val="24"/>
          <w:szCs w:val="24"/>
        </w:rPr>
        <w:t> </w:t>
      </w:r>
      <w:r>
        <w:rPr>
          <w:rFonts w:hint="eastAsia" w:ascii="宋体" w:hAnsi="宋体"/>
          <w:sz w:val="24"/>
          <w:szCs w:val="24"/>
        </w:rPr>
        <w:t> 期：</w:t>
      </w:r>
      <w:r>
        <w:rPr>
          <w:rFonts w:hint="eastAsia" w:ascii="宋体" w:hAnsi="宋体"/>
          <w:sz w:val="24"/>
          <w:szCs w:val="24"/>
          <w:u w:val="single"/>
        </w:rPr>
        <w:t xml:space="preserve">                              </w:t>
      </w:r>
    </w:p>
    <w:p>
      <w:pPr>
        <w:spacing w:line="500" w:lineRule="exact"/>
        <w:ind w:firstLine="482"/>
        <w:rPr>
          <w:rFonts w:ascii="宋体"/>
          <w:b/>
          <w:color w:val="auto"/>
          <w:sz w:val="24"/>
          <w:szCs w:val="24"/>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pStyle w:val="2"/>
        <w:ind w:left="0" w:leftChars="0" w:firstLine="0" w:firstLineChars="0"/>
        <w:rPr>
          <w:rFonts w:hint="eastAsia"/>
        </w:rPr>
      </w:pPr>
    </w:p>
    <w:p>
      <w:pPr>
        <w:snapToGrid w:val="0"/>
        <w:spacing w:before="50" w:after="50"/>
        <w:jc w:val="center"/>
        <w:rPr>
          <w:rFonts w:hint="eastAsia" w:ascii="黑体" w:eastAsia="黑体"/>
          <w:color w:val="000000"/>
          <w:sz w:val="32"/>
          <w:szCs w:val="32"/>
        </w:rPr>
      </w:pPr>
      <w:r>
        <w:rPr>
          <w:rFonts w:hint="eastAsia" w:ascii="黑体" w:eastAsia="黑体"/>
          <w:color w:val="000000"/>
          <w:sz w:val="32"/>
          <w:szCs w:val="32"/>
        </w:rPr>
        <w:t>七、技术参数响应及偏离表（如有）</w:t>
      </w:r>
    </w:p>
    <w:p>
      <w:pPr>
        <w:jc w:val="center"/>
        <w:rPr>
          <w:rFonts w:hint="eastAsia" w:ascii="宋体" w:hAnsi="宋体"/>
          <w:color w:val="000000"/>
          <w:sz w:val="24"/>
          <w:szCs w:val="24"/>
        </w:rPr>
      </w:pPr>
    </w:p>
    <w:p>
      <w:pPr>
        <w:rPr>
          <w:rFonts w:hint="eastAsia" w:ascii="宋体" w:hAnsi="宋体"/>
          <w:color w:val="000000"/>
          <w:sz w:val="24"/>
          <w:szCs w:val="24"/>
        </w:rPr>
      </w:pPr>
      <w:r>
        <w:rPr>
          <w:rFonts w:hint="eastAsia" w:ascii="宋体" w:hAnsi="宋体"/>
          <w:color w:val="000000"/>
          <w:sz w:val="24"/>
          <w:szCs w:val="24"/>
        </w:rPr>
        <w:t xml:space="preserve">投标人全称（加盖公章）：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序号</w:t>
            </w:r>
          </w:p>
        </w:tc>
        <w:tc>
          <w:tcPr>
            <w:tcW w:w="2852" w:type="dxa"/>
            <w:noWrap w:val="0"/>
            <w:vAlign w:val="center"/>
          </w:tcPr>
          <w:p>
            <w:pPr>
              <w:rPr>
                <w:rFonts w:hint="eastAsia" w:ascii="宋体" w:hAnsi="宋体"/>
                <w:color w:val="000000"/>
                <w:sz w:val="24"/>
                <w:szCs w:val="24"/>
              </w:rPr>
            </w:pPr>
            <w:r>
              <w:rPr>
                <w:rFonts w:hint="eastAsia" w:ascii="宋体" w:hAnsi="宋体"/>
                <w:color w:val="000000"/>
                <w:sz w:val="24"/>
                <w:szCs w:val="24"/>
              </w:rPr>
              <w:t>招标要求</w:t>
            </w:r>
          </w:p>
        </w:tc>
        <w:tc>
          <w:tcPr>
            <w:tcW w:w="2852" w:type="dxa"/>
            <w:noWrap w:val="0"/>
            <w:vAlign w:val="center"/>
          </w:tcPr>
          <w:p>
            <w:pPr>
              <w:rPr>
                <w:rFonts w:hint="eastAsia" w:ascii="宋体" w:hAnsi="宋体"/>
                <w:color w:val="000000"/>
                <w:sz w:val="24"/>
                <w:szCs w:val="24"/>
              </w:rPr>
            </w:pPr>
            <w:r>
              <w:rPr>
                <w:rFonts w:hint="eastAsia" w:ascii="宋体" w:hAnsi="宋体"/>
                <w:color w:val="000000"/>
                <w:sz w:val="24"/>
                <w:szCs w:val="24"/>
              </w:rPr>
              <w:t>投标响应</w:t>
            </w:r>
          </w:p>
        </w:tc>
        <w:tc>
          <w:tcPr>
            <w:tcW w:w="1308" w:type="dxa"/>
            <w:noWrap w:val="0"/>
            <w:vAlign w:val="center"/>
          </w:tcPr>
          <w:p>
            <w:pPr>
              <w:rPr>
                <w:rFonts w:hint="eastAsia" w:ascii="宋体" w:hAnsi="宋体"/>
                <w:color w:val="000000"/>
                <w:sz w:val="24"/>
                <w:szCs w:val="24"/>
              </w:rPr>
            </w:pPr>
            <w:r>
              <w:rPr>
                <w:rFonts w:hint="eastAsia" w:ascii="宋体" w:hAnsi="宋体"/>
                <w:color w:val="000000"/>
                <w:sz w:val="24"/>
                <w:szCs w:val="24"/>
              </w:rPr>
              <w:t>超出、符合或偏离</w:t>
            </w:r>
          </w:p>
        </w:tc>
        <w:tc>
          <w:tcPr>
            <w:tcW w:w="1173"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bl>
    <w:p>
      <w:pPr>
        <w:rPr>
          <w:rFonts w:hint="eastAsia" w:ascii="宋体" w:hAnsi="宋体"/>
          <w:color w:val="000000"/>
          <w:sz w:val="24"/>
          <w:szCs w:val="24"/>
        </w:rPr>
      </w:pPr>
      <w:r>
        <w:rPr>
          <w:rFonts w:hint="eastAsia" w:ascii="宋体" w:hAnsi="宋体"/>
          <w:color w:val="000000"/>
          <w:sz w:val="24"/>
          <w:szCs w:val="24"/>
        </w:rPr>
        <w:t>法定代表人或授权代表签字：</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b w:val="0"/>
          <w:bCs w:val="0"/>
          <w:color w:val="000000"/>
          <w:sz w:val="24"/>
          <w:szCs w:val="24"/>
        </w:rPr>
      </w:pPr>
      <w:r>
        <w:rPr>
          <w:rFonts w:hint="eastAsia" w:ascii="宋体" w:hAnsi="宋体"/>
          <w:color w:val="000000"/>
          <w:sz w:val="24"/>
          <w:szCs w:val="24"/>
        </w:rPr>
        <w:t>注：</w:t>
      </w:r>
      <w:r>
        <w:rPr>
          <w:rFonts w:hint="eastAsia" w:ascii="宋体" w:hAnsi="宋体"/>
          <w:b w:val="0"/>
          <w:bCs w:val="0"/>
          <w:color w:val="000000"/>
          <w:sz w:val="24"/>
          <w:szCs w:val="24"/>
        </w:rPr>
        <w:t>1、按照基本技术要求详细填列。</w:t>
      </w:r>
    </w:p>
    <w:p>
      <w:pPr>
        <w:numPr>
          <w:ilvl w:val="0"/>
          <w:numId w:val="28"/>
        </w:numPr>
        <w:rPr>
          <w:rFonts w:hint="eastAsia" w:ascii="宋体" w:hAnsi="宋体"/>
          <w:b w:val="0"/>
          <w:bCs w:val="0"/>
          <w:color w:val="000000"/>
          <w:sz w:val="24"/>
          <w:szCs w:val="24"/>
        </w:rPr>
      </w:pPr>
      <w:r>
        <w:rPr>
          <w:rFonts w:hint="eastAsia" w:ascii="宋体" w:hAnsi="宋体"/>
          <w:b w:val="0"/>
          <w:bCs w:val="0"/>
          <w:color w:val="000000"/>
          <w:sz w:val="24"/>
          <w:szCs w:val="24"/>
        </w:rPr>
        <w:t>行数不够，可自行添加。</w:t>
      </w:r>
    </w:p>
    <w:p>
      <w:pPr>
        <w:numPr>
          <w:ilvl w:val="0"/>
          <w:numId w:val="28"/>
        </w:numPr>
        <w:spacing w:line="360" w:lineRule="auto"/>
        <w:ind w:left="840" w:leftChars="0" w:hanging="360" w:firstLineChars="0"/>
        <w:rPr>
          <w:rFonts w:hint="eastAsia" w:ascii="宋体" w:hAnsi="宋体"/>
          <w:b w:val="0"/>
          <w:bCs w:val="0"/>
          <w:color w:val="000000"/>
          <w:sz w:val="24"/>
        </w:rPr>
      </w:pPr>
      <w:r>
        <w:rPr>
          <w:rFonts w:hint="eastAsia" w:ascii="宋体" w:hAnsi="宋体"/>
          <w:b w:val="0"/>
          <w:bCs w:val="0"/>
          <w:color w:val="000000"/>
          <w:sz w:val="24"/>
        </w:rPr>
        <w:t>技术偏离表应针对项目需求逐条应答。</w:t>
      </w:r>
    </w:p>
    <w:p>
      <w:pPr>
        <w:spacing w:line="500" w:lineRule="exact"/>
        <w:ind w:firstLine="480" w:firstLineChars="200"/>
        <w:rPr>
          <w:rFonts w:ascii="宋体"/>
          <w:b w:val="0"/>
          <w:bCs w:val="0"/>
          <w:color w:val="000000"/>
          <w:sz w:val="24"/>
          <w:szCs w:val="24"/>
        </w:rPr>
      </w:pPr>
      <w:r>
        <w:rPr>
          <w:rFonts w:hint="eastAsia" w:ascii="宋体" w:hAnsi="宋体"/>
          <w:b w:val="0"/>
          <w:bCs w:val="0"/>
          <w:color w:val="000000"/>
          <w:sz w:val="24"/>
          <w:szCs w:val="24"/>
          <w:lang w:val="en-US" w:eastAsia="zh-CN"/>
        </w:rPr>
        <w:t>4</w:t>
      </w:r>
      <w:r>
        <w:rPr>
          <w:rFonts w:hint="eastAsia" w:ascii="宋体" w:hAnsi="宋体"/>
          <w:b w:val="0"/>
          <w:bCs w:val="0"/>
          <w:color w:val="000000"/>
          <w:sz w:val="24"/>
          <w:szCs w:val="24"/>
        </w:rPr>
        <w:t>、如无超出或偏离项目，此表无需填写。</w:t>
      </w:r>
    </w:p>
    <w:p>
      <w:pPr>
        <w:numPr>
          <w:ilvl w:val="0"/>
          <w:numId w:val="0"/>
        </w:numPr>
        <w:spacing w:line="360" w:lineRule="auto"/>
        <w:ind w:left="480" w:leftChars="0"/>
        <w:rPr>
          <w:rFonts w:hint="eastAsia" w:ascii="宋体" w:hAnsi="宋体"/>
          <w:bCs/>
          <w:color w:val="000000"/>
          <w:sz w:val="24"/>
        </w:rPr>
      </w:pPr>
    </w:p>
    <w:p>
      <w:pPr>
        <w:jc w:val="both"/>
        <w:rPr>
          <w:rFonts w:hint="eastAsia" w:ascii="黑体" w:hAnsi="Arial" w:eastAsia="黑体"/>
          <w:b/>
          <w:color w:val="000000"/>
          <w:sz w:val="36"/>
        </w:rPr>
      </w:pPr>
    </w:p>
    <w:p>
      <w:pPr>
        <w:jc w:val="center"/>
        <w:rPr>
          <w:rFonts w:hint="eastAsia" w:ascii="黑体" w:hAnsi="Arial" w:eastAsia="黑体"/>
          <w:b/>
          <w:color w:val="000000"/>
          <w:sz w:val="36"/>
        </w:rPr>
      </w:pPr>
    </w:p>
    <w:p>
      <w:pPr>
        <w:snapToGrid w:val="0"/>
        <w:spacing w:before="50" w:after="50"/>
        <w:jc w:val="center"/>
        <w:rPr>
          <w:rFonts w:hint="eastAsia" w:ascii="黑体" w:eastAsia="黑体"/>
          <w:color w:val="000000"/>
          <w:sz w:val="32"/>
          <w:szCs w:val="32"/>
        </w:rPr>
      </w:pPr>
      <w:bookmarkStart w:id="165" w:name="_Hlt26955054"/>
      <w:bookmarkEnd w:id="165"/>
    </w:p>
    <w:p>
      <w:pPr>
        <w:snapToGrid w:val="0"/>
        <w:spacing w:before="50" w:after="50"/>
        <w:jc w:val="center"/>
        <w:rPr>
          <w:rFonts w:hint="eastAsia" w:ascii="黑体" w:eastAsia="黑体"/>
          <w:color w:val="000000"/>
          <w:sz w:val="32"/>
          <w:szCs w:val="32"/>
        </w:rPr>
      </w:pPr>
    </w:p>
    <w:p>
      <w:pPr>
        <w:snapToGrid w:val="0"/>
        <w:spacing w:before="50" w:after="50"/>
        <w:jc w:val="center"/>
        <w:rPr>
          <w:rFonts w:hint="eastAsia" w:ascii="黑体" w:eastAsia="黑体"/>
          <w:color w:val="000000"/>
          <w:sz w:val="32"/>
          <w:szCs w:val="32"/>
        </w:rPr>
      </w:pPr>
    </w:p>
    <w:p>
      <w:pPr>
        <w:snapToGrid w:val="0"/>
        <w:spacing w:before="50" w:after="50"/>
        <w:jc w:val="center"/>
        <w:rPr>
          <w:rFonts w:hint="eastAsia" w:ascii="黑体" w:eastAsia="黑体"/>
          <w:color w:val="000000"/>
          <w:sz w:val="32"/>
          <w:szCs w:val="32"/>
        </w:rPr>
      </w:pPr>
    </w:p>
    <w:p>
      <w:pPr>
        <w:snapToGrid w:val="0"/>
        <w:spacing w:before="50" w:after="50"/>
        <w:jc w:val="center"/>
        <w:rPr>
          <w:rFonts w:hint="eastAsia" w:ascii="黑体" w:eastAsia="黑体"/>
          <w:color w:val="000000"/>
          <w:sz w:val="32"/>
          <w:szCs w:val="32"/>
        </w:rPr>
      </w:pPr>
    </w:p>
    <w:p>
      <w:pPr>
        <w:snapToGrid w:val="0"/>
        <w:spacing w:before="50" w:after="50"/>
        <w:jc w:val="center"/>
        <w:rPr>
          <w:rFonts w:hint="eastAsia" w:ascii="黑体" w:eastAsia="黑体"/>
          <w:color w:val="000000"/>
          <w:sz w:val="32"/>
          <w:szCs w:val="32"/>
        </w:rPr>
      </w:pPr>
      <w:r>
        <w:rPr>
          <w:rFonts w:hint="eastAsia" w:ascii="黑体" w:eastAsia="黑体"/>
          <w:color w:val="000000"/>
          <w:sz w:val="32"/>
          <w:szCs w:val="32"/>
        </w:rPr>
        <w:t>八、商务条款响应及偏离表（如有）</w:t>
      </w:r>
    </w:p>
    <w:p>
      <w:pPr>
        <w:jc w:val="center"/>
        <w:rPr>
          <w:rFonts w:hint="eastAsia" w:ascii="宋体" w:hAnsi="宋体"/>
          <w:color w:val="000000"/>
          <w:sz w:val="24"/>
          <w:szCs w:val="24"/>
        </w:rPr>
      </w:pPr>
    </w:p>
    <w:p>
      <w:pPr>
        <w:rPr>
          <w:rFonts w:hint="eastAsia" w:ascii="宋体" w:hAnsi="宋体"/>
          <w:color w:val="000000"/>
          <w:sz w:val="24"/>
          <w:szCs w:val="24"/>
        </w:rPr>
      </w:pPr>
      <w:r>
        <w:rPr>
          <w:rFonts w:hint="eastAsia" w:ascii="宋体" w:hAnsi="宋体"/>
          <w:color w:val="000000"/>
          <w:sz w:val="24"/>
          <w:szCs w:val="24"/>
        </w:rPr>
        <w:t xml:space="preserve">投标人全称（加盖公章）：        </w:t>
      </w:r>
    </w:p>
    <w:tbl>
      <w:tblPr>
        <w:tblStyle w:val="3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项目</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是否响应</w:t>
            </w: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质保期</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color w:val="000000"/>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color w:val="000000"/>
                <w:sz w:val="24"/>
              </w:rPr>
              <w:t>交货时间</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合同签订后</w:t>
            </w:r>
            <w:r>
              <w:rPr>
                <w:rFonts w:hint="eastAsia" w:ascii="仿宋_GB2312" w:hAnsi="宋体"/>
                <w:color w:val="000000"/>
                <w:sz w:val="24"/>
                <w:u w:val="single"/>
              </w:rPr>
              <w:t xml:space="preserve">     </w:t>
            </w:r>
            <w:r>
              <w:rPr>
                <w:rFonts w:ascii="仿宋_GB2312" w:hAnsi="宋体"/>
                <w:color w:val="000000"/>
                <w:sz w:val="24"/>
              </w:rPr>
              <w:t>天内</w:t>
            </w:r>
            <w:r>
              <w:rPr>
                <w:rFonts w:ascii="仿宋_GB2312" w:hAnsi="宋体"/>
                <w:color w:val="000000"/>
                <w:sz w:val="24"/>
                <w:u w:val="single"/>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color w:val="000000"/>
                <w:sz w:val="24"/>
              </w:rPr>
            </w:pPr>
            <w:r>
              <w:rPr>
                <w:rFonts w:hint="eastAsia" w:ascii="仿宋_GB2312"/>
                <w:color w:val="000000"/>
                <w:sz w:val="24"/>
              </w:rPr>
              <w:t>交货方式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hAnsi="宋体"/>
                <w:color w:val="000000"/>
                <w:sz w:val="24"/>
              </w:rPr>
            </w:pPr>
          </w:p>
          <w:p>
            <w:pPr>
              <w:snapToGrid w:val="0"/>
              <w:spacing w:before="145" w:beforeLines="50"/>
              <w:rPr>
                <w:rFonts w:hint="eastAsia" w:ascii="仿宋_GB2312"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color w:val="000000"/>
                <w:sz w:val="24"/>
              </w:rPr>
            </w:pPr>
            <w:r>
              <w:rPr>
                <w:rFonts w:hint="eastAsia" w:ascii="仿宋_GB2312"/>
                <w:color w:val="000000"/>
                <w:sz w:val="24"/>
              </w:rPr>
              <w:t>交货地点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hAnsi="宋体"/>
                <w:color w:val="000000"/>
                <w:sz w:val="24"/>
              </w:rPr>
            </w:pPr>
          </w:p>
          <w:p>
            <w:pPr>
              <w:snapToGrid w:val="0"/>
              <w:spacing w:before="145" w:beforeLines="50"/>
              <w:rPr>
                <w:rFonts w:hint="eastAsia" w:ascii="仿宋_GB2312"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付款方式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宋体" w:hAnsi="宋体"/>
                <w:color w:val="000000"/>
                <w:sz w:val="24"/>
                <w:szCs w:val="20"/>
              </w:rPr>
            </w:pPr>
            <w:r>
              <w:rPr>
                <w:rFonts w:hint="eastAsia" w:ascii="宋体" w:hAnsi="宋体"/>
                <w:color w:val="000000"/>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hAnsi="宋体" w:eastAsia="仿宋_GB2312"/>
                <w:color w:val="000000"/>
                <w:sz w:val="24"/>
                <w:szCs w:val="20"/>
              </w:rPr>
            </w:pPr>
          </w:p>
          <w:p>
            <w:pPr>
              <w:snapToGrid w:val="0"/>
              <w:spacing w:before="145" w:beforeLines="50"/>
              <w:rPr>
                <w:rFonts w:hint="eastAsia"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_GB2312"/>
                <w:color w:val="000000"/>
                <w:sz w:val="24"/>
              </w:rPr>
            </w:pPr>
            <w:r>
              <w:rPr>
                <w:rFonts w:hint="eastAsia" w:ascii="仿宋_GB2312"/>
                <w:color w:val="000000"/>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r>
              <w:rPr>
                <w:rFonts w:hint="eastAsia" w:ascii="仿宋_GB2312" w:hAnsi="宋体"/>
                <w:color w:val="000000"/>
                <w:sz w:val="24"/>
              </w:rPr>
              <w:t>其他</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ascii="仿宋_GB2312" w:hAnsi="宋体" w:eastAsia="仿宋_GB2312"/>
                <w:color w:val="000000"/>
                <w:sz w:val="24"/>
                <w:szCs w:val="20"/>
              </w:rPr>
            </w:pPr>
          </w:p>
        </w:tc>
      </w:tr>
    </w:tbl>
    <w:p>
      <w:pPr>
        <w:spacing w:line="500" w:lineRule="exact"/>
        <w:ind w:firstLine="480" w:firstLineChars="200"/>
        <w:jc w:val="center"/>
        <w:rPr>
          <w:rFonts w:hint="eastAsia" w:ascii="宋体" w:hAnsi="宋体"/>
          <w:b/>
          <w:color w:val="auto"/>
          <w:sz w:val="36"/>
          <w:szCs w:val="36"/>
        </w:rPr>
      </w:pPr>
      <w:r>
        <w:rPr>
          <w:rFonts w:hint="eastAsia" w:ascii="宋体" w:hAnsi="宋体"/>
          <w:color w:val="000000"/>
          <w:sz w:val="24"/>
          <w:szCs w:val="24"/>
        </w:rPr>
        <w:t>法定代表人或授权代表签字：</w:t>
      </w: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b/>
          <w:color w:val="auto"/>
          <w:sz w:val="36"/>
          <w:szCs w:val="36"/>
        </w:rPr>
      </w:pPr>
    </w:p>
    <w:p>
      <w:pPr>
        <w:spacing w:line="500" w:lineRule="exact"/>
        <w:ind w:firstLine="723" w:firstLineChars="200"/>
        <w:jc w:val="center"/>
        <w:rPr>
          <w:rFonts w:hint="eastAsia" w:ascii="宋体" w:hAnsi="宋体" w:eastAsia="宋体"/>
          <w:b/>
          <w:color w:val="auto"/>
          <w:sz w:val="36"/>
          <w:szCs w:val="36"/>
          <w:lang w:eastAsia="zh-CN"/>
        </w:rPr>
      </w:pPr>
      <w:r>
        <w:rPr>
          <w:rFonts w:hint="eastAsia" w:ascii="宋体" w:hAnsi="宋体"/>
          <w:b/>
          <w:color w:val="auto"/>
          <w:sz w:val="36"/>
          <w:szCs w:val="36"/>
          <w:lang w:eastAsia="zh-CN"/>
        </w:rPr>
        <w:t>九</w:t>
      </w:r>
      <w:r>
        <w:rPr>
          <w:rFonts w:hint="eastAsia" w:ascii="宋体" w:hAnsi="宋体"/>
          <w:b/>
          <w:color w:val="auto"/>
          <w:sz w:val="36"/>
          <w:szCs w:val="36"/>
        </w:rPr>
        <w:t>、</w:t>
      </w:r>
      <w:r>
        <w:rPr>
          <w:rFonts w:hint="eastAsia" w:ascii="宋体" w:hAnsi="宋体"/>
          <w:b/>
          <w:color w:val="000000"/>
          <w:sz w:val="36"/>
          <w:szCs w:val="36"/>
        </w:rPr>
        <w:t>拟投入本项目人员一览表</w:t>
      </w:r>
    </w:p>
    <w:p>
      <w:pPr>
        <w:autoSpaceDE w:val="0"/>
        <w:autoSpaceDN w:val="0"/>
        <w:adjustRightInd w:val="0"/>
        <w:spacing w:line="500" w:lineRule="exact"/>
        <w:ind w:firstLine="480" w:firstLineChars="200"/>
        <w:jc w:val="center"/>
        <w:rPr>
          <w:rFonts w:ascii="新宋体" w:hAnsi="新宋体" w:eastAsia="新宋体"/>
          <w:bCs/>
          <w:color w:val="auto"/>
        </w:rPr>
      </w:pPr>
      <w:r>
        <w:rPr>
          <w:rFonts w:hint="eastAsia" w:ascii="宋体" w:hAnsi="宋体"/>
          <w:color w:val="000000"/>
          <w:sz w:val="24"/>
          <w:szCs w:val="24"/>
        </w:rPr>
        <w:t>（投标人格式自拟）</w:t>
      </w:r>
    </w:p>
    <w:p>
      <w:pPr>
        <w:autoSpaceDE w:val="0"/>
        <w:autoSpaceDN w:val="0"/>
        <w:adjustRightInd w:val="0"/>
        <w:spacing w:line="500" w:lineRule="exact"/>
        <w:ind w:firstLine="420" w:firstLineChars="200"/>
        <w:jc w:val="left"/>
        <w:rPr>
          <w:rFonts w:hint="eastAsia" w:ascii="新宋体" w:hAnsi="新宋体" w:eastAsia="宋体"/>
          <w:bCs/>
          <w:color w:val="FF0000"/>
          <w:lang w:val="en-US" w:eastAsia="zh-CN"/>
        </w:rPr>
      </w:pPr>
    </w:p>
    <w:p>
      <w:pPr>
        <w:autoSpaceDE w:val="0"/>
        <w:autoSpaceDN w:val="0"/>
        <w:adjustRightInd w:val="0"/>
        <w:spacing w:line="500" w:lineRule="exact"/>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autoSpaceDE w:val="0"/>
        <w:autoSpaceDN w:val="0"/>
        <w:adjustRightInd w:val="0"/>
        <w:spacing w:line="500" w:lineRule="exact"/>
        <w:ind w:firstLine="420" w:firstLineChars="200"/>
        <w:rPr>
          <w:rFonts w:ascii="新宋体" w:hAnsi="新宋体" w:eastAsia="新宋体"/>
          <w:bCs/>
          <w:color w:val="auto"/>
        </w:rPr>
      </w:pPr>
    </w:p>
    <w:p>
      <w:pPr>
        <w:pStyle w:val="17"/>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pStyle w:val="18"/>
        <w:rPr>
          <w:rFonts w:ascii="新宋体" w:hAnsi="新宋体" w:eastAsia="新宋体"/>
          <w:bCs/>
          <w:color w:val="auto"/>
        </w:rPr>
      </w:pPr>
    </w:p>
    <w:p>
      <w:pPr>
        <w:spacing w:line="360" w:lineRule="auto"/>
        <w:jc w:val="both"/>
        <w:rPr>
          <w:rFonts w:hint="eastAsia" w:ascii="宋体" w:hAnsi="宋体"/>
          <w:b/>
          <w:color w:val="auto"/>
          <w:sz w:val="24"/>
          <w:szCs w:val="24"/>
        </w:rPr>
      </w:pPr>
    </w:p>
    <w:p>
      <w:pPr>
        <w:spacing w:line="500" w:lineRule="exact"/>
        <w:jc w:val="center"/>
        <w:rPr>
          <w:rFonts w:ascii="宋体" w:hAnsi="宋体"/>
          <w:b/>
          <w:color w:val="000000"/>
          <w:sz w:val="36"/>
          <w:szCs w:val="36"/>
        </w:rPr>
      </w:pPr>
      <w:r>
        <w:rPr>
          <w:rFonts w:hint="eastAsia" w:ascii="宋体" w:hAnsi="宋体"/>
          <w:b/>
          <w:color w:val="000000"/>
          <w:sz w:val="36"/>
          <w:szCs w:val="36"/>
          <w:lang w:val="en-US" w:eastAsia="zh-CN"/>
        </w:rPr>
        <w:t>十</w:t>
      </w:r>
      <w:r>
        <w:rPr>
          <w:rFonts w:hint="eastAsia" w:ascii="宋体" w:hAnsi="宋体"/>
          <w:b/>
          <w:color w:val="000000"/>
          <w:sz w:val="36"/>
          <w:szCs w:val="36"/>
        </w:rPr>
        <w:t>、实施方案</w:t>
      </w:r>
    </w:p>
    <w:p>
      <w:pPr>
        <w:widowControl/>
        <w:spacing w:line="500" w:lineRule="exact"/>
        <w:jc w:val="center"/>
        <w:rPr>
          <w:rFonts w:hint="eastAsia" w:ascii="宋体" w:hAnsi="宋体"/>
          <w:b/>
          <w:color w:val="auto"/>
          <w:sz w:val="36"/>
          <w:szCs w:val="36"/>
          <w:lang w:val="en-US" w:eastAsia="zh-CN"/>
        </w:rPr>
      </w:pPr>
      <w:r>
        <w:rPr>
          <w:rFonts w:hint="eastAsia" w:ascii="新宋体" w:hAnsi="新宋体" w:eastAsia="新宋体"/>
          <w:bCs/>
          <w:color w:val="FF0000"/>
        </w:rPr>
        <w:t>(按评标办法的内容进行编制)</w:t>
      </w: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ind w:firstLine="2891" w:firstLineChars="800"/>
        <w:jc w:val="both"/>
        <w:rPr>
          <w:rFonts w:hint="eastAsia" w:ascii="宋体" w:hAnsi="宋体"/>
          <w:b/>
          <w:color w:val="auto"/>
          <w:sz w:val="36"/>
          <w:szCs w:val="36"/>
          <w:lang w:val="en-US" w:eastAsia="zh-CN"/>
        </w:rPr>
      </w:pPr>
    </w:p>
    <w:p>
      <w:pPr>
        <w:widowControl/>
        <w:spacing w:line="500" w:lineRule="exact"/>
        <w:jc w:val="center"/>
        <w:rPr>
          <w:rFonts w:ascii="黑体" w:eastAsia="黑体"/>
          <w:color w:val="auto"/>
          <w:sz w:val="32"/>
          <w:szCs w:val="32"/>
        </w:rPr>
      </w:pPr>
      <w:r>
        <w:rPr>
          <w:rFonts w:hint="eastAsia" w:ascii="宋体" w:hAnsi="宋体"/>
          <w:b/>
          <w:color w:val="000000" w:themeColor="text1"/>
          <w:sz w:val="36"/>
          <w:szCs w:val="36"/>
          <w:lang w:val="en-US" w:eastAsia="zh-CN"/>
          <w14:textFill>
            <w14:solidFill>
              <w14:schemeClr w14:val="tx1"/>
            </w14:solidFill>
          </w14:textFill>
        </w:rPr>
        <w:t>十一、</w:t>
      </w:r>
      <w:bookmarkEnd w:id="155"/>
      <w:bookmarkEnd w:id="156"/>
      <w:bookmarkEnd w:id="164"/>
      <w:r>
        <w:rPr>
          <w:rFonts w:hint="eastAsia" w:ascii="黑体" w:eastAsia="黑体"/>
          <w:color w:val="auto"/>
          <w:sz w:val="32"/>
          <w:szCs w:val="32"/>
        </w:rPr>
        <w:t>盐都区政府采购事前信用承诺书</w:t>
      </w:r>
    </w:p>
    <w:p>
      <w:pPr>
        <w:widowControl/>
        <w:spacing w:line="500" w:lineRule="exact"/>
        <w:ind w:firstLine="640" w:firstLineChars="200"/>
        <w:jc w:val="left"/>
        <w:rPr>
          <w:rFonts w:ascii="方正仿宋_GBK" w:hAnsi="宋体" w:eastAsia="方正仿宋_GBK" w:cs="宋体"/>
          <w:color w:val="auto"/>
          <w:kern w:val="0"/>
          <w:sz w:val="32"/>
          <w:szCs w:val="32"/>
        </w:rPr>
      </w:pPr>
    </w:p>
    <w:p>
      <w:pPr>
        <w:widowControl/>
        <w:spacing w:line="500" w:lineRule="exact"/>
        <w:ind w:firstLine="480" w:firstLineChars="200"/>
        <w:jc w:val="left"/>
        <w:rPr>
          <w:rFonts w:ascii="宋体" w:hAnsi="宋体"/>
          <w:color w:val="auto"/>
          <w:sz w:val="24"/>
          <w:szCs w:val="24"/>
        </w:rPr>
      </w:pPr>
      <w:r>
        <w:rPr>
          <w:rFonts w:hint="eastAsia" w:ascii="宋体" w:hAnsi="宋体"/>
          <w:color w:val="auto"/>
          <w:sz w:val="24"/>
          <w:szCs w:val="24"/>
        </w:rPr>
        <w:t>为营造我区公开、公平、公正、诚实守信的政府采购交易环境，树立诚信守法的投标人形象，本人代表本单位作出以下承诺：</w:t>
      </w:r>
    </w:p>
    <w:p>
      <w:pPr>
        <w:widowControl/>
        <w:spacing w:line="500" w:lineRule="exact"/>
        <w:jc w:val="left"/>
        <w:rPr>
          <w:rFonts w:ascii="宋体" w:hAnsi="宋体"/>
          <w:color w:val="auto"/>
          <w:sz w:val="24"/>
          <w:szCs w:val="24"/>
        </w:rPr>
      </w:pPr>
      <w:r>
        <w:rPr>
          <w:rFonts w:hint="eastAsia" w:ascii="宋体" w:hAnsi="宋体"/>
          <w:color w:val="auto"/>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auto"/>
          <w:sz w:val="24"/>
          <w:szCs w:val="24"/>
        </w:rPr>
      </w:pPr>
      <w:r>
        <w:rPr>
          <w:rFonts w:hint="eastAsia" w:ascii="宋体" w:hAnsi="宋体"/>
          <w:color w:val="auto"/>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auto"/>
          <w:sz w:val="24"/>
          <w:szCs w:val="24"/>
        </w:rPr>
      </w:pPr>
      <w:r>
        <w:rPr>
          <w:rFonts w:hint="eastAsia" w:ascii="宋体" w:hAnsi="宋体"/>
          <w:color w:val="auto"/>
          <w:sz w:val="24"/>
          <w:szCs w:val="24"/>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color w:val="auto"/>
          <w:sz w:val="24"/>
          <w:szCs w:val="24"/>
        </w:rPr>
      </w:pPr>
      <w:r>
        <w:rPr>
          <w:rFonts w:hint="eastAsia" w:ascii="宋体" w:hAnsi="宋体"/>
          <w:color w:val="auto"/>
          <w:sz w:val="24"/>
          <w:szCs w:val="24"/>
        </w:rPr>
        <w:t>   （四）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olor w:val="auto"/>
          <w:sz w:val="24"/>
          <w:szCs w:val="24"/>
        </w:rPr>
      </w:pPr>
      <w:r>
        <w:rPr>
          <w:rFonts w:hint="eastAsia" w:ascii="宋体" w:hAnsi="宋体"/>
          <w:color w:val="auto"/>
          <w:sz w:val="24"/>
          <w:szCs w:val="24"/>
        </w:rPr>
        <w:t>   （五）自觉接受政府、行业组织、社会公众、新闻舆论的监督；</w:t>
      </w:r>
    </w:p>
    <w:p>
      <w:pPr>
        <w:widowControl/>
        <w:spacing w:line="500" w:lineRule="exact"/>
        <w:ind w:firstLine="480" w:firstLineChars="200"/>
        <w:jc w:val="left"/>
        <w:rPr>
          <w:rFonts w:ascii="宋体" w:hAnsi="宋体"/>
          <w:color w:val="auto"/>
          <w:sz w:val="24"/>
          <w:szCs w:val="24"/>
        </w:rPr>
      </w:pPr>
      <w:r>
        <w:rPr>
          <w:rFonts w:hint="eastAsia" w:ascii="宋体" w:hAnsi="宋体"/>
          <w:color w:val="auto"/>
          <w:sz w:val="24"/>
          <w:szCs w:val="24"/>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olor w:val="auto"/>
          <w:sz w:val="24"/>
          <w:szCs w:val="24"/>
        </w:rPr>
      </w:pPr>
      <w:r>
        <w:rPr>
          <w:rFonts w:hint="eastAsia" w:ascii="宋体" w:hAnsi="宋体"/>
          <w:color w:val="auto"/>
          <w:sz w:val="24"/>
          <w:szCs w:val="24"/>
        </w:rPr>
        <w:t>   （七）本人已认真阅读了上述承诺，并向本单位员工作了宣传教育。</w:t>
      </w:r>
    </w:p>
    <w:p>
      <w:pPr>
        <w:widowControl/>
        <w:spacing w:line="500" w:lineRule="exact"/>
        <w:jc w:val="left"/>
        <w:rPr>
          <w:rFonts w:ascii="宋体" w:hAnsi="宋体"/>
          <w:color w:val="auto"/>
          <w:sz w:val="24"/>
          <w:szCs w:val="24"/>
        </w:rPr>
      </w:pPr>
    </w:p>
    <w:p>
      <w:pPr>
        <w:widowControl/>
        <w:spacing w:line="500" w:lineRule="exact"/>
        <w:jc w:val="center"/>
        <w:rPr>
          <w:rFonts w:ascii="宋体" w:hAnsi="宋体"/>
          <w:color w:val="auto"/>
          <w:sz w:val="24"/>
          <w:szCs w:val="24"/>
        </w:rPr>
      </w:pPr>
      <w:r>
        <w:rPr>
          <w:rFonts w:hint="eastAsia" w:ascii="宋体" w:hAnsi="宋体"/>
          <w:color w:val="auto"/>
          <w:sz w:val="24"/>
          <w:szCs w:val="24"/>
        </w:rPr>
        <w:t xml:space="preserve">                 法定代表人签名：</w:t>
      </w:r>
    </w:p>
    <w:p>
      <w:pPr>
        <w:widowControl/>
        <w:spacing w:line="500" w:lineRule="exact"/>
        <w:jc w:val="center"/>
        <w:rPr>
          <w:rFonts w:ascii="宋体" w:hAnsi="宋体"/>
          <w:color w:val="auto"/>
          <w:sz w:val="24"/>
          <w:szCs w:val="24"/>
        </w:rPr>
      </w:pPr>
      <w:r>
        <w:rPr>
          <w:rFonts w:hint="eastAsia" w:ascii="宋体" w:hAnsi="宋体"/>
          <w:color w:val="auto"/>
          <w:sz w:val="24"/>
          <w:szCs w:val="24"/>
        </w:rPr>
        <w:t xml:space="preserve">                   单位名称（盖章）：</w:t>
      </w:r>
    </w:p>
    <w:p>
      <w:pPr>
        <w:widowControl/>
        <w:spacing w:line="500" w:lineRule="exact"/>
        <w:jc w:val="center"/>
        <w:rPr>
          <w:rFonts w:ascii="宋体" w:hAnsi="宋体"/>
          <w:color w:val="auto"/>
          <w:sz w:val="24"/>
          <w:szCs w:val="24"/>
        </w:rPr>
      </w:pPr>
      <w:r>
        <w:rPr>
          <w:rFonts w:hint="eastAsia" w:ascii="宋体" w:hAnsi="宋体"/>
          <w:color w:val="auto"/>
          <w:sz w:val="24"/>
          <w:szCs w:val="24"/>
        </w:rPr>
        <w:t xml:space="preserve">                      年    月    日</w:t>
      </w:r>
    </w:p>
    <w:p>
      <w:pPr>
        <w:pStyle w:val="2"/>
        <w:ind w:left="0" w:leftChars="0" w:firstLine="0" w:firstLineChars="0"/>
        <w:rPr>
          <w:color w:val="auto"/>
        </w:rPr>
      </w:pPr>
    </w:p>
    <w:p>
      <w:pPr>
        <w:pStyle w:val="2"/>
        <w:ind w:firstLine="0" w:firstLineChars="0"/>
        <w:rPr>
          <w:color w:val="auto"/>
        </w:rPr>
      </w:pPr>
    </w:p>
    <w:sectPr>
      <w:footerReference r:id="rId6" w:type="default"/>
      <w:pgSz w:w="11906" w:h="16838"/>
      <w:pgMar w:top="1553" w:right="1140" w:bottom="1553" w:left="11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1</w:t>
    </w:r>
    <w:r>
      <w:rPr>
        <w:rStyle w:val="41"/>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b/>
        <w:i/>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sz w:val="24"/>
        <w:szCs w:val="24"/>
      </w:rPr>
    </w:pPr>
    <w:r>
      <w:rPr>
        <w:rFonts w:hint="eastAsia" w:ascii="楷体" w:hAnsi="楷体" w:eastAsia="楷体"/>
        <w:sz w:val="24"/>
        <w:szCs w:val="24"/>
      </w:rPr>
      <w:t>盐城市盐都区政府采购（YDZC  2021-FS</w:t>
    </w:r>
    <w:r>
      <w:rPr>
        <w:rFonts w:hint="eastAsia" w:ascii="楷体" w:hAnsi="楷体" w:eastAsia="楷体"/>
        <w:sz w:val="24"/>
        <w:szCs w:val="24"/>
        <w:lang w:val="en-US" w:eastAsia="zh-CN"/>
      </w:rPr>
      <w:t>202-2</w:t>
    </w:r>
    <w:r>
      <w:rPr>
        <w:rFonts w:hint="eastAsia" w:ascii="楷体" w:hAnsi="楷体" w:eastAsia="楷体"/>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ACD06"/>
    <w:multiLevelType w:val="singleLevel"/>
    <w:tmpl w:val="857ACD06"/>
    <w:lvl w:ilvl="0" w:tentative="0">
      <w:start w:val="4"/>
      <w:numFmt w:val="decimal"/>
      <w:suff w:val="nothing"/>
      <w:lvlText w:val="%1、"/>
      <w:lvlJc w:val="left"/>
    </w:lvl>
  </w:abstractNum>
  <w:abstractNum w:abstractNumId="1">
    <w:nsid w:val="970C8E38"/>
    <w:multiLevelType w:val="singleLevel"/>
    <w:tmpl w:val="970C8E38"/>
    <w:lvl w:ilvl="0" w:tentative="0">
      <w:start w:val="1"/>
      <w:numFmt w:val="decimal"/>
      <w:suff w:val="nothing"/>
      <w:lvlText w:val="%1、"/>
      <w:lvlJc w:val="left"/>
    </w:lvl>
  </w:abstractNum>
  <w:abstractNum w:abstractNumId="2">
    <w:nsid w:val="A033E26C"/>
    <w:multiLevelType w:val="singleLevel"/>
    <w:tmpl w:val="A033E26C"/>
    <w:lvl w:ilvl="0" w:tentative="0">
      <w:start w:val="4"/>
      <w:numFmt w:val="decimal"/>
      <w:suff w:val="nothing"/>
      <w:lvlText w:val="%1、"/>
      <w:lvlJc w:val="left"/>
    </w:lvl>
  </w:abstractNum>
  <w:abstractNum w:abstractNumId="3">
    <w:nsid w:val="A7BF4234"/>
    <w:multiLevelType w:val="singleLevel"/>
    <w:tmpl w:val="A7BF4234"/>
    <w:lvl w:ilvl="0" w:tentative="0">
      <w:start w:val="1"/>
      <w:numFmt w:val="decimal"/>
      <w:suff w:val="nothing"/>
      <w:lvlText w:val="%1、"/>
      <w:lvlJc w:val="left"/>
    </w:lvl>
  </w:abstractNum>
  <w:abstractNum w:abstractNumId="4">
    <w:nsid w:val="AEBA4F6B"/>
    <w:multiLevelType w:val="singleLevel"/>
    <w:tmpl w:val="AEBA4F6B"/>
    <w:lvl w:ilvl="0" w:tentative="0">
      <w:start w:val="1"/>
      <w:numFmt w:val="decimal"/>
      <w:suff w:val="nothing"/>
      <w:lvlText w:val="%1、"/>
      <w:lvlJc w:val="left"/>
    </w:lvl>
  </w:abstractNum>
  <w:abstractNum w:abstractNumId="5">
    <w:nsid w:val="C8E9F8D7"/>
    <w:multiLevelType w:val="singleLevel"/>
    <w:tmpl w:val="C8E9F8D7"/>
    <w:lvl w:ilvl="0" w:tentative="0">
      <w:start w:val="4"/>
      <w:numFmt w:val="decimal"/>
      <w:suff w:val="nothing"/>
      <w:lvlText w:val="%1、"/>
      <w:lvlJc w:val="left"/>
    </w:lvl>
  </w:abstractNum>
  <w:abstractNum w:abstractNumId="6">
    <w:nsid w:val="CE1E5ECD"/>
    <w:multiLevelType w:val="singleLevel"/>
    <w:tmpl w:val="CE1E5ECD"/>
    <w:lvl w:ilvl="0" w:tentative="0">
      <w:start w:val="4"/>
      <w:numFmt w:val="decimal"/>
      <w:suff w:val="nothing"/>
      <w:lvlText w:val="%1、"/>
      <w:lvlJc w:val="left"/>
    </w:lvl>
  </w:abstractNum>
  <w:abstractNum w:abstractNumId="7">
    <w:nsid w:val="E2E54875"/>
    <w:multiLevelType w:val="singleLevel"/>
    <w:tmpl w:val="E2E54875"/>
    <w:lvl w:ilvl="0" w:tentative="0">
      <w:start w:val="4"/>
      <w:numFmt w:val="decimal"/>
      <w:suff w:val="nothing"/>
      <w:lvlText w:val="%1、"/>
      <w:lvlJc w:val="left"/>
    </w:lvl>
  </w:abstractNum>
  <w:abstractNum w:abstractNumId="8">
    <w:nsid w:val="E4ED8DB2"/>
    <w:multiLevelType w:val="singleLevel"/>
    <w:tmpl w:val="E4ED8DB2"/>
    <w:lvl w:ilvl="0" w:tentative="0">
      <w:start w:val="1"/>
      <w:numFmt w:val="chineseCounting"/>
      <w:suff w:val="nothing"/>
      <w:lvlText w:val="%1、"/>
      <w:lvlJc w:val="left"/>
      <w:rPr>
        <w:rFonts w:hint="eastAsia"/>
      </w:rPr>
    </w:lvl>
  </w:abstractNum>
  <w:abstractNum w:abstractNumId="9">
    <w:nsid w:val="E7AA6F27"/>
    <w:multiLevelType w:val="singleLevel"/>
    <w:tmpl w:val="E7AA6F27"/>
    <w:lvl w:ilvl="0" w:tentative="0">
      <w:start w:val="1"/>
      <w:numFmt w:val="decimal"/>
      <w:suff w:val="nothing"/>
      <w:lvlText w:val="%1、"/>
      <w:lvlJc w:val="left"/>
    </w:lvl>
  </w:abstractNum>
  <w:abstractNum w:abstractNumId="10">
    <w:nsid w:val="E8516F8B"/>
    <w:multiLevelType w:val="singleLevel"/>
    <w:tmpl w:val="E8516F8B"/>
    <w:lvl w:ilvl="0" w:tentative="0">
      <w:start w:val="1"/>
      <w:numFmt w:val="decimal"/>
      <w:suff w:val="nothing"/>
      <w:lvlText w:val="%1、"/>
      <w:lvlJc w:val="left"/>
    </w:lvl>
  </w:abstractNum>
  <w:abstractNum w:abstractNumId="11">
    <w:nsid w:val="FD0C07E0"/>
    <w:multiLevelType w:val="singleLevel"/>
    <w:tmpl w:val="FD0C07E0"/>
    <w:lvl w:ilvl="0" w:tentative="0">
      <w:start w:val="1"/>
      <w:numFmt w:val="decimal"/>
      <w:suff w:val="nothing"/>
      <w:lvlText w:val="%1、"/>
      <w:lvlJc w:val="left"/>
    </w:lvl>
  </w:abstractNum>
  <w:abstractNum w:abstractNumId="1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0EBE39E1"/>
    <w:multiLevelType w:val="singleLevel"/>
    <w:tmpl w:val="0EBE39E1"/>
    <w:lvl w:ilvl="0" w:tentative="0">
      <w:start w:val="4"/>
      <w:numFmt w:val="decimal"/>
      <w:suff w:val="nothing"/>
      <w:lvlText w:val="%1、"/>
      <w:lvlJc w:val="left"/>
    </w:lvl>
  </w:abstractNum>
  <w:abstractNum w:abstractNumId="14">
    <w:nsid w:val="1C177868"/>
    <w:multiLevelType w:val="singleLevel"/>
    <w:tmpl w:val="1C177868"/>
    <w:lvl w:ilvl="0" w:tentative="0">
      <w:start w:val="1"/>
      <w:numFmt w:val="decimal"/>
      <w:suff w:val="nothing"/>
      <w:lvlText w:val="%1、"/>
      <w:lvlJc w:val="left"/>
    </w:lvl>
  </w:abstractNum>
  <w:abstractNum w:abstractNumId="15">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16">
    <w:nsid w:val="2B1C3904"/>
    <w:multiLevelType w:val="singleLevel"/>
    <w:tmpl w:val="2B1C3904"/>
    <w:lvl w:ilvl="0" w:tentative="0">
      <w:start w:val="1"/>
      <w:numFmt w:val="decimal"/>
      <w:suff w:val="nothing"/>
      <w:lvlText w:val="%1、"/>
      <w:lvlJc w:val="left"/>
    </w:lvl>
  </w:abstractNum>
  <w:abstractNum w:abstractNumId="17">
    <w:nsid w:val="4A8C5A55"/>
    <w:multiLevelType w:val="singleLevel"/>
    <w:tmpl w:val="4A8C5A55"/>
    <w:lvl w:ilvl="0" w:tentative="0">
      <w:start w:val="1"/>
      <w:numFmt w:val="decimal"/>
      <w:suff w:val="nothing"/>
      <w:lvlText w:val="%1、"/>
      <w:lvlJc w:val="left"/>
    </w:lvl>
  </w:abstractNum>
  <w:abstractNum w:abstractNumId="18">
    <w:nsid w:val="55AF17DE"/>
    <w:multiLevelType w:val="singleLevel"/>
    <w:tmpl w:val="55AF17DE"/>
    <w:lvl w:ilvl="0" w:tentative="0">
      <w:start w:val="1"/>
      <w:numFmt w:val="decimal"/>
      <w:suff w:val="nothing"/>
      <w:lvlText w:val="%1、"/>
      <w:lvlJc w:val="left"/>
    </w:lvl>
  </w:abstractNum>
  <w:abstractNum w:abstractNumId="19">
    <w:nsid w:val="5A2B9532"/>
    <w:multiLevelType w:val="singleLevel"/>
    <w:tmpl w:val="5A2B9532"/>
    <w:lvl w:ilvl="0" w:tentative="0">
      <w:start w:val="2"/>
      <w:numFmt w:val="decimal"/>
      <w:suff w:val="space"/>
      <w:lvlText w:val="%1."/>
      <w:lvlJc w:val="left"/>
    </w:lvl>
  </w:abstractNum>
  <w:abstractNum w:abstractNumId="20">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21">
    <w:nsid w:val="60031876"/>
    <w:multiLevelType w:val="singleLevel"/>
    <w:tmpl w:val="60031876"/>
    <w:lvl w:ilvl="0" w:tentative="0">
      <w:start w:val="1"/>
      <w:numFmt w:val="decimal"/>
      <w:suff w:val="nothing"/>
      <w:lvlText w:val="%1、"/>
      <w:lvlJc w:val="left"/>
    </w:lvl>
  </w:abstractNum>
  <w:abstractNum w:abstractNumId="22">
    <w:nsid w:val="6B0D5262"/>
    <w:multiLevelType w:val="singleLevel"/>
    <w:tmpl w:val="6B0D5262"/>
    <w:lvl w:ilvl="0" w:tentative="0">
      <w:start w:val="1"/>
      <w:numFmt w:val="decimal"/>
      <w:suff w:val="nothing"/>
      <w:lvlText w:val="%1、"/>
      <w:lvlJc w:val="left"/>
    </w:lvl>
  </w:abstractNum>
  <w:abstractNum w:abstractNumId="23">
    <w:nsid w:val="6DE8C46F"/>
    <w:multiLevelType w:val="singleLevel"/>
    <w:tmpl w:val="6DE8C46F"/>
    <w:lvl w:ilvl="0" w:tentative="0">
      <w:start w:val="1"/>
      <w:numFmt w:val="decimal"/>
      <w:suff w:val="nothing"/>
      <w:lvlText w:val="%1、"/>
      <w:lvlJc w:val="left"/>
    </w:lvl>
  </w:abstractNum>
  <w:abstractNum w:abstractNumId="24">
    <w:nsid w:val="6E2126AB"/>
    <w:multiLevelType w:val="singleLevel"/>
    <w:tmpl w:val="6E2126AB"/>
    <w:lvl w:ilvl="0" w:tentative="0">
      <w:start w:val="1"/>
      <w:numFmt w:val="decimal"/>
      <w:suff w:val="nothing"/>
      <w:lvlText w:val="%1、"/>
      <w:lvlJc w:val="left"/>
    </w:lvl>
  </w:abstractNum>
  <w:abstractNum w:abstractNumId="25">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abstractNum w:abstractNumId="26">
    <w:nsid w:val="727647E2"/>
    <w:multiLevelType w:val="singleLevel"/>
    <w:tmpl w:val="727647E2"/>
    <w:lvl w:ilvl="0" w:tentative="0">
      <w:start w:val="1"/>
      <w:numFmt w:val="decimal"/>
      <w:suff w:val="nothing"/>
      <w:lvlText w:val="%1、"/>
      <w:lvlJc w:val="left"/>
    </w:lvl>
  </w:abstractNum>
  <w:abstractNum w:abstractNumId="27">
    <w:nsid w:val="79014E00"/>
    <w:multiLevelType w:val="singleLevel"/>
    <w:tmpl w:val="79014E00"/>
    <w:lvl w:ilvl="0" w:tentative="0">
      <w:start w:val="4"/>
      <w:numFmt w:val="decimal"/>
      <w:suff w:val="nothing"/>
      <w:lvlText w:val="%1、"/>
      <w:lvlJc w:val="left"/>
    </w:lvl>
  </w:abstractNum>
  <w:num w:numId="1">
    <w:abstractNumId w:val="20"/>
  </w:num>
  <w:num w:numId="2">
    <w:abstractNumId w:val="25"/>
  </w:num>
  <w:num w:numId="3">
    <w:abstractNumId w:val="1"/>
  </w:num>
  <w:num w:numId="4">
    <w:abstractNumId w:val="5"/>
  </w:num>
  <w:num w:numId="5">
    <w:abstractNumId w:val="16"/>
  </w:num>
  <w:num w:numId="6">
    <w:abstractNumId w:val="18"/>
  </w:num>
  <w:num w:numId="7">
    <w:abstractNumId w:val="0"/>
  </w:num>
  <w:num w:numId="8">
    <w:abstractNumId w:val="23"/>
  </w:num>
  <w:num w:numId="9">
    <w:abstractNumId w:val="14"/>
  </w:num>
  <w:num w:numId="10">
    <w:abstractNumId w:val="27"/>
  </w:num>
  <w:num w:numId="11">
    <w:abstractNumId w:val="4"/>
  </w:num>
  <w:num w:numId="12">
    <w:abstractNumId w:val="3"/>
  </w:num>
  <w:num w:numId="13">
    <w:abstractNumId w:val="7"/>
  </w:num>
  <w:num w:numId="14">
    <w:abstractNumId w:val="24"/>
  </w:num>
  <w:num w:numId="15">
    <w:abstractNumId w:val="26"/>
  </w:num>
  <w:num w:numId="16">
    <w:abstractNumId w:val="2"/>
  </w:num>
  <w:num w:numId="17">
    <w:abstractNumId w:val="11"/>
  </w:num>
  <w:num w:numId="18">
    <w:abstractNumId w:val="21"/>
  </w:num>
  <w:num w:numId="19">
    <w:abstractNumId w:val="10"/>
  </w:num>
  <w:num w:numId="20">
    <w:abstractNumId w:val="22"/>
  </w:num>
  <w:num w:numId="21">
    <w:abstractNumId w:val="13"/>
  </w:num>
  <w:num w:numId="22">
    <w:abstractNumId w:val="9"/>
  </w:num>
  <w:num w:numId="23">
    <w:abstractNumId w:val="17"/>
  </w:num>
  <w:num w:numId="24">
    <w:abstractNumId w:val="6"/>
  </w:num>
  <w:num w:numId="25">
    <w:abstractNumId w:val="8"/>
  </w:num>
  <w:num w:numId="26">
    <w:abstractNumId w:val="15"/>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C3"/>
    <w:rsid w:val="00000F4D"/>
    <w:rsid w:val="00014898"/>
    <w:rsid w:val="000206D5"/>
    <w:rsid w:val="0002101B"/>
    <w:rsid w:val="00022E96"/>
    <w:rsid w:val="00024D72"/>
    <w:rsid w:val="000260AC"/>
    <w:rsid w:val="000328B9"/>
    <w:rsid w:val="00034F55"/>
    <w:rsid w:val="00042FDF"/>
    <w:rsid w:val="000433E8"/>
    <w:rsid w:val="00044E0A"/>
    <w:rsid w:val="0004545D"/>
    <w:rsid w:val="0005110F"/>
    <w:rsid w:val="00053743"/>
    <w:rsid w:val="000568D2"/>
    <w:rsid w:val="000577E8"/>
    <w:rsid w:val="00063CD7"/>
    <w:rsid w:val="0008440E"/>
    <w:rsid w:val="0008553B"/>
    <w:rsid w:val="00087D36"/>
    <w:rsid w:val="00093038"/>
    <w:rsid w:val="000945BF"/>
    <w:rsid w:val="000A52FF"/>
    <w:rsid w:val="000A7FF9"/>
    <w:rsid w:val="000B12CA"/>
    <w:rsid w:val="000B1961"/>
    <w:rsid w:val="000B60C0"/>
    <w:rsid w:val="000C04DF"/>
    <w:rsid w:val="000C08D7"/>
    <w:rsid w:val="000D2EB1"/>
    <w:rsid w:val="000D4EF4"/>
    <w:rsid w:val="000D5EF5"/>
    <w:rsid w:val="000E037C"/>
    <w:rsid w:val="000E5FF0"/>
    <w:rsid w:val="000F069E"/>
    <w:rsid w:val="000F5356"/>
    <w:rsid w:val="000F77C4"/>
    <w:rsid w:val="000F7927"/>
    <w:rsid w:val="00100527"/>
    <w:rsid w:val="00105F07"/>
    <w:rsid w:val="00107BE2"/>
    <w:rsid w:val="00111F87"/>
    <w:rsid w:val="0011312C"/>
    <w:rsid w:val="00113133"/>
    <w:rsid w:val="001155D4"/>
    <w:rsid w:val="001164A2"/>
    <w:rsid w:val="00116777"/>
    <w:rsid w:val="00122B1D"/>
    <w:rsid w:val="0012312C"/>
    <w:rsid w:val="00126717"/>
    <w:rsid w:val="001277B9"/>
    <w:rsid w:val="001314E2"/>
    <w:rsid w:val="00135D3B"/>
    <w:rsid w:val="00135FE9"/>
    <w:rsid w:val="00136810"/>
    <w:rsid w:val="00136EF1"/>
    <w:rsid w:val="001373DC"/>
    <w:rsid w:val="0014040A"/>
    <w:rsid w:val="00143B57"/>
    <w:rsid w:val="0014446B"/>
    <w:rsid w:val="00145FA2"/>
    <w:rsid w:val="00146686"/>
    <w:rsid w:val="00150410"/>
    <w:rsid w:val="00150890"/>
    <w:rsid w:val="00151728"/>
    <w:rsid w:val="001556E7"/>
    <w:rsid w:val="00157962"/>
    <w:rsid w:val="001602FA"/>
    <w:rsid w:val="00167070"/>
    <w:rsid w:val="001672FA"/>
    <w:rsid w:val="00167D5D"/>
    <w:rsid w:val="00172496"/>
    <w:rsid w:val="00172CAE"/>
    <w:rsid w:val="00172D6E"/>
    <w:rsid w:val="00173262"/>
    <w:rsid w:val="00173636"/>
    <w:rsid w:val="00173788"/>
    <w:rsid w:val="0017444E"/>
    <w:rsid w:val="001754A7"/>
    <w:rsid w:val="001807F6"/>
    <w:rsid w:val="001833B7"/>
    <w:rsid w:val="00184235"/>
    <w:rsid w:val="00184A7C"/>
    <w:rsid w:val="00184ABD"/>
    <w:rsid w:val="0018526B"/>
    <w:rsid w:val="00187F65"/>
    <w:rsid w:val="00191014"/>
    <w:rsid w:val="00192E7E"/>
    <w:rsid w:val="001A2103"/>
    <w:rsid w:val="001A4EB2"/>
    <w:rsid w:val="001A56D2"/>
    <w:rsid w:val="001A7E3D"/>
    <w:rsid w:val="001B0859"/>
    <w:rsid w:val="001B3483"/>
    <w:rsid w:val="001B408D"/>
    <w:rsid w:val="001B7E07"/>
    <w:rsid w:val="001C3E07"/>
    <w:rsid w:val="001C4ED1"/>
    <w:rsid w:val="001C4FB1"/>
    <w:rsid w:val="001C5A6B"/>
    <w:rsid w:val="001C7611"/>
    <w:rsid w:val="001D53D7"/>
    <w:rsid w:val="001D6836"/>
    <w:rsid w:val="001D68C7"/>
    <w:rsid w:val="001E15D4"/>
    <w:rsid w:val="001E4DB5"/>
    <w:rsid w:val="001E542D"/>
    <w:rsid w:val="001F09DB"/>
    <w:rsid w:val="001F0C7F"/>
    <w:rsid w:val="00201655"/>
    <w:rsid w:val="00202013"/>
    <w:rsid w:val="002031EF"/>
    <w:rsid w:val="00203A1A"/>
    <w:rsid w:val="00205A05"/>
    <w:rsid w:val="00210BAC"/>
    <w:rsid w:val="0021140E"/>
    <w:rsid w:val="00215DC1"/>
    <w:rsid w:val="002161B8"/>
    <w:rsid w:val="00216568"/>
    <w:rsid w:val="00220AC7"/>
    <w:rsid w:val="00221965"/>
    <w:rsid w:val="00221A59"/>
    <w:rsid w:val="002226FA"/>
    <w:rsid w:val="00230E24"/>
    <w:rsid w:val="0023210C"/>
    <w:rsid w:val="002330E3"/>
    <w:rsid w:val="00233FCD"/>
    <w:rsid w:val="0023584D"/>
    <w:rsid w:val="0024059F"/>
    <w:rsid w:val="00243D1D"/>
    <w:rsid w:val="0024413C"/>
    <w:rsid w:val="00244EEA"/>
    <w:rsid w:val="002538D2"/>
    <w:rsid w:val="00253B60"/>
    <w:rsid w:val="00261413"/>
    <w:rsid w:val="00261CE2"/>
    <w:rsid w:val="00261F8C"/>
    <w:rsid w:val="0027299E"/>
    <w:rsid w:val="002738D9"/>
    <w:rsid w:val="00274F8F"/>
    <w:rsid w:val="00281BB0"/>
    <w:rsid w:val="0028239B"/>
    <w:rsid w:val="002850E1"/>
    <w:rsid w:val="00286F95"/>
    <w:rsid w:val="0028786E"/>
    <w:rsid w:val="00287879"/>
    <w:rsid w:val="002928EB"/>
    <w:rsid w:val="002933D1"/>
    <w:rsid w:val="00296951"/>
    <w:rsid w:val="00297EC6"/>
    <w:rsid w:val="002A0AAC"/>
    <w:rsid w:val="002A0FE0"/>
    <w:rsid w:val="002A11FE"/>
    <w:rsid w:val="002A2C60"/>
    <w:rsid w:val="002A366F"/>
    <w:rsid w:val="002B3EE3"/>
    <w:rsid w:val="002B417B"/>
    <w:rsid w:val="002B429F"/>
    <w:rsid w:val="002C1BBA"/>
    <w:rsid w:val="002C3534"/>
    <w:rsid w:val="002C3F38"/>
    <w:rsid w:val="002C5408"/>
    <w:rsid w:val="002C69C3"/>
    <w:rsid w:val="002C6E21"/>
    <w:rsid w:val="002C73C8"/>
    <w:rsid w:val="002C7AED"/>
    <w:rsid w:val="002D3450"/>
    <w:rsid w:val="002D6983"/>
    <w:rsid w:val="002E203B"/>
    <w:rsid w:val="002E41E3"/>
    <w:rsid w:val="002E5044"/>
    <w:rsid w:val="002F19B2"/>
    <w:rsid w:val="002F38FA"/>
    <w:rsid w:val="002F47C7"/>
    <w:rsid w:val="002F7361"/>
    <w:rsid w:val="00300649"/>
    <w:rsid w:val="00303CA3"/>
    <w:rsid w:val="00303E72"/>
    <w:rsid w:val="00316663"/>
    <w:rsid w:val="0032301C"/>
    <w:rsid w:val="003265FB"/>
    <w:rsid w:val="0033044B"/>
    <w:rsid w:val="00332F13"/>
    <w:rsid w:val="003340F5"/>
    <w:rsid w:val="00340028"/>
    <w:rsid w:val="00341CFD"/>
    <w:rsid w:val="00343149"/>
    <w:rsid w:val="00345295"/>
    <w:rsid w:val="003454E9"/>
    <w:rsid w:val="003500F1"/>
    <w:rsid w:val="003509F7"/>
    <w:rsid w:val="00350EA5"/>
    <w:rsid w:val="00353FD2"/>
    <w:rsid w:val="0035538B"/>
    <w:rsid w:val="0036297C"/>
    <w:rsid w:val="003635FE"/>
    <w:rsid w:val="00363F9E"/>
    <w:rsid w:val="0037064A"/>
    <w:rsid w:val="00375EA8"/>
    <w:rsid w:val="00376312"/>
    <w:rsid w:val="00376C73"/>
    <w:rsid w:val="00377F65"/>
    <w:rsid w:val="00377FB5"/>
    <w:rsid w:val="00383185"/>
    <w:rsid w:val="00383F7F"/>
    <w:rsid w:val="00384043"/>
    <w:rsid w:val="0038499F"/>
    <w:rsid w:val="0039067A"/>
    <w:rsid w:val="003934B9"/>
    <w:rsid w:val="003943DD"/>
    <w:rsid w:val="00395176"/>
    <w:rsid w:val="003A3DA8"/>
    <w:rsid w:val="003A5717"/>
    <w:rsid w:val="003A5972"/>
    <w:rsid w:val="003A5DC7"/>
    <w:rsid w:val="003A76BE"/>
    <w:rsid w:val="003B0F32"/>
    <w:rsid w:val="003B1659"/>
    <w:rsid w:val="003B381C"/>
    <w:rsid w:val="003B636B"/>
    <w:rsid w:val="003C0145"/>
    <w:rsid w:val="003C11D1"/>
    <w:rsid w:val="003C47D5"/>
    <w:rsid w:val="003D0584"/>
    <w:rsid w:val="003D28E8"/>
    <w:rsid w:val="003D38F6"/>
    <w:rsid w:val="003D4372"/>
    <w:rsid w:val="003D4434"/>
    <w:rsid w:val="003D4A9A"/>
    <w:rsid w:val="003D4FAB"/>
    <w:rsid w:val="003D7432"/>
    <w:rsid w:val="003D7C9A"/>
    <w:rsid w:val="003E1B70"/>
    <w:rsid w:val="003E24F1"/>
    <w:rsid w:val="003F1897"/>
    <w:rsid w:val="003F2998"/>
    <w:rsid w:val="003F32E1"/>
    <w:rsid w:val="003F3E4A"/>
    <w:rsid w:val="003F6C64"/>
    <w:rsid w:val="0040090B"/>
    <w:rsid w:val="00401AF3"/>
    <w:rsid w:val="00403410"/>
    <w:rsid w:val="0040461E"/>
    <w:rsid w:val="00410D89"/>
    <w:rsid w:val="004150B3"/>
    <w:rsid w:val="0042363A"/>
    <w:rsid w:val="0042619B"/>
    <w:rsid w:val="00426FA2"/>
    <w:rsid w:val="004308CE"/>
    <w:rsid w:val="004315A7"/>
    <w:rsid w:val="004326F5"/>
    <w:rsid w:val="004347A8"/>
    <w:rsid w:val="004351DE"/>
    <w:rsid w:val="004374DE"/>
    <w:rsid w:val="004420BC"/>
    <w:rsid w:val="00443946"/>
    <w:rsid w:val="004478A1"/>
    <w:rsid w:val="00451627"/>
    <w:rsid w:val="0045170E"/>
    <w:rsid w:val="00454E2B"/>
    <w:rsid w:val="004552C4"/>
    <w:rsid w:val="00456BD4"/>
    <w:rsid w:val="00456FA4"/>
    <w:rsid w:val="00461441"/>
    <w:rsid w:val="0046247E"/>
    <w:rsid w:val="00464741"/>
    <w:rsid w:val="00471356"/>
    <w:rsid w:val="00472B24"/>
    <w:rsid w:val="00473C60"/>
    <w:rsid w:val="00475726"/>
    <w:rsid w:val="00476512"/>
    <w:rsid w:val="0048202B"/>
    <w:rsid w:val="00484A1B"/>
    <w:rsid w:val="00485B9C"/>
    <w:rsid w:val="00485CE1"/>
    <w:rsid w:val="0049379E"/>
    <w:rsid w:val="00493C40"/>
    <w:rsid w:val="004A06E6"/>
    <w:rsid w:val="004A21FF"/>
    <w:rsid w:val="004A26D9"/>
    <w:rsid w:val="004A53D1"/>
    <w:rsid w:val="004A769A"/>
    <w:rsid w:val="004B1C75"/>
    <w:rsid w:val="004B2805"/>
    <w:rsid w:val="004B55F5"/>
    <w:rsid w:val="004C1733"/>
    <w:rsid w:val="004C1A0F"/>
    <w:rsid w:val="004C246A"/>
    <w:rsid w:val="004C2A19"/>
    <w:rsid w:val="004C3E60"/>
    <w:rsid w:val="004C4011"/>
    <w:rsid w:val="004C4107"/>
    <w:rsid w:val="004D2EA0"/>
    <w:rsid w:val="004D3822"/>
    <w:rsid w:val="004D3BEE"/>
    <w:rsid w:val="004E1F45"/>
    <w:rsid w:val="004E33BB"/>
    <w:rsid w:val="004E3A95"/>
    <w:rsid w:val="004E4030"/>
    <w:rsid w:val="004E54F9"/>
    <w:rsid w:val="004F0ED7"/>
    <w:rsid w:val="004F72FB"/>
    <w:rsid w:val="00500D06"/>
    <w:rsid w:val="00501C61"/>
    <w:rsid w:val="005032F1"/>
    <w:rsid w:val="00504A02"/>
    <w:rsid w:val="00505886"/>
    <w:rsid w:val="005162B3"/>
    <w:rsid w:val="00521780"/>
    <w:rsid w:val="00522335"/>
    <w:rsid w:val="0052451D"/>
    <w:rsid w:val="005245A6"/>
    <w:rsid w:val="00525ABA"/>
    <w:rsid w:val="00527ED0"/>
    <w:rsid w:val="005300F4"/>
    <w:rsid w:val="00530366"/>
    <w:rsid w:val="005366B2"/>
    <w:rsid w:val="00540EB4"/>
    <w:rsid w:val="0054405C"/>
    <w:rsid w:val="0054492F"/>
    <w:rsid w:val="005516F2"/>
    <w:rsid w:val="00553FEA"/>
    <w:rsid w:val="0055574E"/>
    <w:rsid w:val="00556FAA"/>
    <w:rsid w:val="00557026"/>
    <w:rsid w:val="00561454"/>
    <w:rsid w:val="005636DA"/>
    <w:rsid w:val="0056503B"/>
    <w:rsid w:val="00566AF1"/>
    <w:rsid w:val="005702DC"/>
    <w:rsid w:val="00571182"/>
    <w:rsid w:val="00571A6A"/>
    <w:rsid w:val="00571DCE"/>
    <w:rsid w:val="00572FFE"/>
    <w:rsid w:val="00576C13"/>
    <w:rsid w:val="00583AD2"/>
    <w:rsid w:val="00592802"/>
    <w:rsid w:val="00592F86"/>
    <w:rsid w:val="00593B26"/>
    <w:rsid w:val="00593E78"/>
    <w:rsid w:val="00596087"/>
    <w:rsid w:val="005A52E5"/>
    <w:rsid w:val="005B2D57"/>
    <w:rsid w:val="005B426E"/>
    <w:rsid w:val="005B67E9"/>
    <w:rsid w:val="005C2680"/>
    <w:rsid w:val="005C463B"/>
    <w:rsid w:val="005C6D3D"/>
    <w:rsid w:val="005C7784"/>
    <w:rsid w:val="005D5A80"/>
    <w:rsid w:val="005D6455"/>
    <w:rsid w:val="005D67FD"/>
    <w:rsid w:val="005E45B6"/>
    <w:rsid w:val="005E6C5F"/>
    <w:rsid w:val="005F08CD"/>
    <w:rsid w:val="005F1138"/>
    <w:rsid w:val="005F15DC"/>
    <w:rsid w:val="005F2FFC"/>
    <w:rsid w:val="005F3452"/>
    <w:rsid w:val="005F41EC"/>
    <w:rsid w:val="005F4C5A"/>
    <w:rsid w:val="005F5069"/>
    <w:rsid w:val="005F67EC"/>
    <w:rsid w:val="005F7BB6"/>
    <w:rsid w:val="00602033"/>
    <w:rsid w:val="00602BC5"/>
    <w:rsid w:val="00602D89"/>
    <w:rsid w:val="006039CE"/>
    <w:rsid w:val="00607105"/>
    <w:rsid w:val="00610A69"/>
    <w:rsid w:val="00621C87"/>
    <w:rsid w:val="006245D1"/>
    <w:rsid w:val="00626691"/>
    <w:rsid w:val="0063046B"/>
    <w:rsid w:val="006317DD"/>
    <w:rsid w:val="0063435F"/>
    <w:rsid w:val="00640822"/>
    <w:rsid w:val="00640E5A"/>
    <w:rsid w:val="00641A51"/>
    <w:rsid w:val="00650DFD"/>
    <w:rsid w:val="00654001"/>
    <w:rsid w:val="00657DAF"/>
    <w:rsid w:val="006652F9"/>
    <w:rsid w:val="00670EEE"/>
    <w:rsid w:val="006723E3"/>
    <w:rsid w:val="00673B05"/>
    <w:rsid w:val="0067674F"/>
    <w:rsid w:val="0068149E"/>
    <w:rsid w:val="006847A7"/>
    <w:rsid w:val="00684F20"/>
    <w:rsid w:val="00687C15"/>
    <w:rsid w:val="006906A4"/>
    <w:rsid w:val="00691923"/>
    <w:rsid w:val="00693035"/>
    <w:rsid w:val="00694760"/>
    <w:rsid w:val="00694E1F"/>
    <w:rsid w:val="00694F0C"/>
    <w:rsid w:val="006975CE"/>
    <w:rsid w:val="00697C08"/>
    <w:rsid w:val="006A18A8"/>
    <w:rsid w:val="006A2A9F"/>
    <w:rsid w:val="006A30AF"/>
    <w:rsid w:val="006A45AB"/>
    <w:rsid w:val="006A4FB7"/>
    <w:rsid w:val="006A61FD"/>
    <w:rsid w:val="006A6899"/>
    <w:rsid w:val="006B1515"/>
    <w:rsid w:val="006B7954"/>
    <w:rsid w:val="006C59C7"/>
    <w:rsid w:val="006C5BB6"/>
    <w:rsid w:val="006C6F7B"/>
    <w:rsid w:val="006D5CF5"/>
    <w:rsid w:val="006D620D"/>
    <w:rsid w:val="006D7FBA"/>
    <w:rsid w:val="006E171D"/>
    <w:rsid w:val="006E4543"/>
    <w:rsid w:val="006F1D6E"/>
    <w:rsid w:val="006F75B8"/>
    <w:rsid w:val="00703F05"/>
    <w:rsid w:val="00707181"/>
    <w:rsid w:val="007128F9"/>
    <w:rsid w:val="00714244"/>
    <w:rsid w:val="00715EB4"/>
    <w:rsid w:val="00716CA8"/>
    <w:rsid w:val="00717A20"/>
    <w:rsid w:val="007257BB"/>
    <w:rsid w:val="007315F5"/>
    <w:rsid w:val="0073172F"/>
    <w:rsid w:val="0073181E"/>
    <w:rsid w:val="007328D5"/>
    <w:rsid w:val="0073340A"/>
    <w:rsid w:val="007417D0"/>
    <w:rsid w:val="007437C3"/>
    <w:rsid w:val="007444C9"/>
    <w:rsid w:val="00745C2E"/>
    <w:rsid w:val="007618BE"/>
    <w:rsid w:val="00761C69"/>
    <w:rsid w:val="00764B03"/>
    <w:rsid w:val="00765EED"/>
    <w:rsid w:val="00780722"/>
    <w:rsid w:val="007810A8"/>
    <w:rsid w:val="00781B76"/>
    <w:rsid w:val="0078223B"/>
    <w:rsid w:val="00785FFD"/>
    <w:rsid w:val="0078668A"/>
    <w:rsid w:val="007927F1"/>
    <w:rsid w:val="00794CF5"/>
    <w:rsid w:val="00796106"/>
    <w:rsid w:val="007A2A2C"/>
    <w:rsid w:val="007B1C82"/>
    <w:rsid w:val="007B29EF"/>
    <w:rsid w:val="007B5BD3"/>
    <w:rsid w:val="007B6F70"/>
    <w:rsid w:val="007B6F82"/>
    <w:rsid w:val="007C3E3E"/>
    <w:rsid w:val="007C5524"/>
    <w:rsid w:val="007D163A"/>
    <w:rsid w:val="007D1FD8"/>
    <w:rsid w:val="007D27E9"/>
    <w:rsid w:val="007D4258"/>
    <w:rsid w:val="007D545C"/>
    <w:rsid w:val="007D5C6D"/>
    <w:rsid w:val="007D72AF"/>
    <w:rsid w:val="007D7D6F"/>
    <w:rsid w:val="007E1DFE"/>
    <w:rsid w:val="007E3653"/>
    <w:rsid w:val="007E3EDB"/>
    <w:rsid w:val="007E750A"/>
    <w:rsid w:val="007F0E14"/>
    <w:rsid w:val="007F2A94"/>
    <w:rsid w:val="007F57B4"/>
    <w:rsid w:val="007F60C3"/>
    <w:rsid w:val="008024AF"/>
    <w:rsid w:val="00802E40"/>
    <w:rsid w:val="00804844"/>
    <w:rsid w:val="00804E70"/>
    <w:rsid w:val="00810133"/>
    <w:rsid w:val="008176E9"/>
    <w:rsid w:val="00817CF4"/>
    <w:rsid w:val="00821A84"/>
    <w:rsid w:val="00821EB3"/>
    <w:rsid w:val="00823DBF"/>
    <w:rsid w:val="008247D1"/>
    <w:rsid w:val="00824FC4"/>
    <w:rsid w:val="008329E8"/>
    <w:rsid w:val="0083345D"/>
    <w:rsid w:val="00835B40"/>
    <w:rsid w:val="00835C2E"/>
    <w:rsid w:val="0083600E"/>
    <w:rsid w:val="008371BF"/>
    <w:rsid w:val="008421FF"/>
    <w:rsid w:val="0084432F"/>
    <w:rsid w:val="008451AC"/>
    <w:rsid w:val="00846B65"/>
    <w:rsid w:val="008471F4"/>
    <w:rsid w:val="00847EF7"/>
    <w:rsid w:val="008519E9"/>
    <w:rsid w:val="00851B12"/>
    <w:rsid w:val="00856AF5"/>
    <w:rsid w:val="00856B2F"/>
    <w:rsid w:val="00857B05"/>
    <w:rsid w:val="00857D54"/>
    <w:rsid w:val="008611BB"/>
    <w:rsid w:val="00862EE2"/>
    <w:rsid w:val="008656F4"/>
    <w:rsid w:val="00865FB1"/>
    <w:rsid w:val="0086638F"/>
    <w:rsid w:val="0087340B"/>
    <w:rsid w:val="0087740C"/>
    <w:rsid w:val="00880530"/>
    <w:rsid w:val="00881DA0"/>
    <w:rsid w:val="008938EA"/>
    <w:rsid w:val="00893D16"/>
    <w:rsid w:val="0089578E"/>
    <w:rsid w:val="008965CE"/>
    <w:rsid w:val="00896D1A"/>
    <w:rsid w:val="00897B6E"/>
    <w:rsid w:val="008A2C81"/>
    <w:rsid w:val="008A4C0D"/>
    <w:rsid w:val="008A4DD0"/>
    <w:rsid w:val="008A6A3A"/>
    <w:rsid w:val="008B1D4F"/>
    <w:rsid w:val="008B480B"/>
    <w:rsid w:val="008C184C"/>
    <w:rsid w:val="008C3B02"/>
    <w:rsid w:val="008D2902"/>
    <w:rsid w:val="008D35C7"/>
    <w:rsid w:val="008D546D"/>
    <w:rsid w:val="008D5F3F"/>
    <w:rsid w:val="008D6379"/>
    <w:rsid w:val="008D7579"/>
    <w:rsid w:val="008E23E5"/>
    <w:rsid w:val="008F0087"/>
    <w:rsid w:val="008F2793"/>
    <w:rsid w:val="008F2FFB"/>
    <w:rsid w:val="008F6A60"/>
    <w:rsid w:val="00900470"/>
    <w:rsid w:val="00901199"/>
    <w:rsid w:val="00904E36"/>
    <w:rsid w:val="0090557A"/>
    <w:rsid w:val="00907613"/>
    <w:rsid w:val="00910F1F"/>
    <w:rsid w:val="0091116C"/>
    <w:rsid w:val="00911295"/>
    <w:rsid w:val="009149CD"/>
    <w:rsid w:val="00914F40"/>
    <w:rsid w:val="00915BB7"/>
    <w:rsid w:val="00917008"/>
    <w:rsid w:val="00922EC7"/>
    <w:rsid w:val="009278F6"/>
    <w:rsid w:val="00930579"/>
    <w:rsid w:val="00930B3A"/>
    <w:rsid w:val="00932ECA"/>
    <w:rsid w:val="00937B06"/>
    <w:rsid w:val="00942F5E"/>
    <w:rsid w:val="00943883"/>
    <w:rsid w:val="009547CD"/>
    <w:rsid w:val="00955D21"/>
    <w:rsid w:val="00956FDC"/>
    <w:rsid w:val="009603F7"/>
    <w:rsid w:val="009607FA"/>
    <w:rsid w:val="0096253F"/>
    <w:rsid w:val="009667B0"/>
    <w:rsid w:val="0097183B"/>
    <w:rsid w:val="00977374"/>
    <w:rsid w:val="00980210"/>
    <w:rsid w:val="00980402"/>
    <w:rsid w:val="00980446"/>
    <w:rsid w:val="00980F2C"/>
    <w:rsid w:val="00981BF4"/>
    <w:rsid w:val="00990221"/>
    <w:rsid w:val="00996165"/>
    <w:rsid w:val="009A15D9"/>
    <w:rsid w:val="009A4E6E"/>
    <w:rsid w:val="009A610A"/>
    <w:rsid w:val="009A6263"/>
    <w:rsid w:val="009B204D"/>
    <w:rsid w:val="009B68A4"/>
    <w:rsid w:val="009C07CE"/>
    <w:rsid w:val="009C0CD4"/>
    <w:rsid w:val="009C15B2"/>
    <w:rsid w:val="009C15C3"/>
    <w:rsid w:val="009C17C1"/>
    <w:rsid w:val="009C6780"/>
    <w:rsid w:val="009D02A6"/>
    <w:rsid w:val="009D2110"/>
    <w:rsid w:val="009E1944"/>
    <w:rsid w:val="009E30E8"/>
    <w:rsid w:val="009E3522"/>
    <w:rsid w:val="009F08F4"/>
    <w:rsid w:val="009F6D9B"/>
    <w:rsid w:val="009F7EA3"/>
    <w:rsid w:val="00A031EB"/>
    <w:rsid w:val="00A036F2"/>
    <w:rsid w:val="00A0685C"/>
    <w:rsid w:val="00A10711"/>
    <w:rsid w:val="00A12305"/>
    <w:rsid w:val="00A12885"/>
    <w:rsid w:val="00A1678E"/>
    <w:rsid w:val="00A16989"/>
    <w:rsid w:val="00A233CC"/>
    <w:rsid w:val="00A2643C"/>
    <w:rsid w:val="00A26B02"/>
    <w:rsid w:val="00A26ECD"/>
    <w:rsid w:val="00A300BA"/>
    <w:rsid w:val="00A32157"/>
    <w:rsid w:val="00A334D3"/>
    <w:rsid w:val="00A34FCD"/>
    <w:rsid w:val="00A3672B"/>
    <w:rsid w:val="00A40C79"/>
    <w:rsid w:val="00A42673"/>
    <w:rsid w:val="00A42A6F"/>
    <w:rsid w:val="00A436FC"/>
    <w:rsid w:val="00A51071"/>
    <w:rsid w:val="00A5183E"/>
    <w:rsid w:val="00A520FA"/>
    <w:rsid w:val="00A6052C"/>
    <w:rsid w:val="00A617A2"/>
    <w:rsid w:val="00A67D30"/>
    <w:rsid w:val="00A70F77"/>
    <w:rsid w:val="00A71A03"/>
    <w:rsid w:val="00A72DDC"/>
    <w:rsid w:val="00A731B6"/>
    <w:rsid w:val="00A7491A"/>
    <w:rsid w:val="00A75997"/>
    <w:rsid w:val="00A80E67"/>
    <w:rsid w:val="00A81252"/>
    <w:rsid w:val="00A831A4"/>
    <w:rsid w:val="00A86D80"/>
    <w:rsid w:val="00A9357C"/>
    <w:rsid w:val="00AA0338"/>
    <w:rsid w:val="00AB2EA1"/>
    <w:rsid w:val="00AC025E"/>
    <w:rsid w:val="00AC0753"/>
    <w:rsid w:val="00AC0FCB"/>
    <w:rsid w:val="00AC2A84"/>
    <w:rsid w:val="00AC3025"/>
    <w:rsid w:val="00AC3DDB"/>
    <w:rsid w:val="00AC427E"/>
    <w:rsid w:val="00AC530A"/>
    <w:rsid w:val="00AC645A"/>
    <w:rsid w:val="00AC7FE4"/>
    <w:rsid w:val="00AD7EF8"/>
    <w:rsid w:val="00AE6415"/>
    <w:rsid w:val="00AE6B0C"/>
    <w:rsid w:val="00AF3C80"/>
    <w:rsid w:val="00AF654D"/>
    <w:rsid w:val="00B03AA5"/>
    <w:rsid w:val="00B041D6"/>
    <w:rsid w:val="00B2286D"/>
    <w:rsid w:val="00B26881"/>
    <w:rsid w:val="00B27311"/>
    <w:rsid w:val="00B27674"/>
    <w:rsid w:val="00B30528"/>
    <w:rsid w:val="00B322C4"/>
    <w:rsid w:val="00B33CE4"/>
    <w:rsid w:val="00B3484F"/>
    <w:rsid w:val="00B37445"/>
    <w:rsid w:val="00B40C7D"/>
    <w:rsid w:val="00B45B75"/>
    <w:rsid w:val="00B46628"/>
    <w:rsid w:val="00B46B26"/>
    <w:rsid w:val="00B54491"/>
    <w:rsid w:val="00B62987"/>
    <w:rsid w:val="00B63EF2"/>
    <w:rsid w:val="00B64DC4"/>
    <w:rsid w:val="00B66233"/>
    <w:rsid w:val="00B71872"/>
    <w:rsid w:val="00B71BA0"/>
    <w:rsid w:val="00B770C6"/>
    <w:rsid w:val="00B77714"/>
    <w:rsid w:val="00B837C6"/>
    <w:rsid w:val="00B858C0"/>
    <w:rsid w:val="00B9171F"/>
    <w:rsid w:val="00B93460"/>
    <w:rsid w:val="00B95CBB"/>
    <w:rsid w:val="00B97674"/>
    <w:rsid w:val="00BA004E"/>
    <w:rsid w:val="00BA158B"/>
    <w:rsid w:val="00BA38F4"/>
    <w:rsid w:val="00BA6470"/>
    <w:rsid w:val="00BA6615"/>
    <w:rsid w:val="00BA7C96"/>
    <w:rsid w:val="00BB0724"/>
    <w:rsid w:val="00BB7661"/>
    <w:rsid w:val="00BC314C"/>
    <w:rsid w:val="00BC3B1C"/>
    <w:rsid w:val="00BC7C01"/>
    <w:rsid w:val="00BD0652"/>
    <w:rsid w:val="00BD12FD"/>
    <w:rsid w:val="00BD1360"/>
    <w:rsid w:val="00BD5ED5"/>
    <w:rsid w:val="00BD79E7"/>
    <w:rsid w:val="00BE3F41"/>
    <w:rsid w:val="00BE7D10"/>
    <w:rsid w:val="00BF00B3"/>
    <w:rsid w:val="00BF7363"/>
    <w:rsid w:val="00BF7787"/>
    <w:rsid w:val="00BF7F6F"/>
    <w:rsid w:val="00C06586"/>
    <w:rsid w:val="00C06774"/>
    <w:rsid w:val="00C072EB"/>
    <w:rsid w:val="00C16326"/>
    <w:rsid w:val="00C16865"/>
    <w:rsid w:val="00C16C6E"/>
    <w:rsid w:val="00C17F25"/>
    <w:rsid w:val="00C200AE"/>
    <w:rsid w:val="00C22568"/>
    <w:rsid w:val="00C30907"/>
    <w:rsid w:val="00C32DD4"/>
    <w:rsid w:val="00C33517"/>
    <w:rsid w:val="00C36D11"/>
    <w:rsid w:val="00C409AC"/>
    <w:rsid w:val="00C418AF"/>
    <w:rsid w:val="00C444B4"/>
    <w:rsid w:val="00C44B22"/>
    <w:rsid w:val="00C45866"/>
    <w:rsid w:val="00C459DB"/>
    <w:rsid w:val="00C45F20"/>
    <w:rsid w:val="00C5117C"/>
    <w:rsid w:val="00C5227D"/>
    <w:rsid w:val="00C53AA3"/>
    <w:rsid w:val="00C577F3"/>
    <w:rsid w:val="00C57E6E"/>
    <w:rsid w:val="00C60453"/>
    <w:rsid w:val="00C6431D"/>
    <w:rsid w:val="00C666DA"/>
    <w:rsid w:val="00C66FE4"/>
    <w:rsid w:val="00C731DF"/>
    <w:rsid w:val="00C82779"/>
    <w:rsid w:val="00C84FA5"/>
    <w:rsid w:val="00C8530D"/>
    <w:rsid w:val="00C85419"/>
    <w:rsid w:val="00C871D8"/>
    <w:rsid w:val="00C87234"/>
    <w:rsid w:val="00C92399"/>
    <w:rsid w:val="00C947EF"/>
    <w:rsid w:val="00CA0AA2"/>
    <w:rsid w:val="00CA31D6"/>
    <w:rsid w:val="00CA3DB9"/>
    <w:rsid w:val="00CA7056"/>
    <w:rsid w:val="00CA7389"/>
    <w:rsid w:val="00CB0256"/>
    <w:rsid w:val="00CB07A9"/>
    <w:rsid w:val="00CB1772"/>
    <w:rsid w:val="00CB186B"/>
    <w:rsid w:val="00CB58AD"/>
    <w:rsid w:val="00CB7EB8"/>
    <w:rsid w:val="00CC4FD7"/>
    <w:rsid w:val="00CD795E"/>
    <w:rsid w:val="00CE07A8"/>
    <w:rsid w:val="00CE6E42"/>
    <w:rsid w:val="00CE7EED"/>
    <w:rsid w:val="00CF207E"/>
    <w:rsid w:val="00CF2A23"/>
    <w:rsid w:val="00CF5C30"/>
    <w:rsid w:val="00CF73F0"/>
    <w:rsid w:val="00D002D4"/>
    <w:rsid w:val="00D00332"/>
    <w:rsid w:val="00D04B50"/>
    <w:rsid w:val="00D05635"/>
    <w:rsid w:val="00D124AD"/>
    <w:rsid w:val="00D147F0"/>
    <w:rsid w:val="00D169B4"/>
    <w:rsid w:val="00D31D49"/>
    <w:rsid w:val="00D333DA"/>
    <w:rsid w:val="00D3388C"/>
    <w:rsid w:val="00D3437E"/>
    <w:rsid w:val="00D42F73"/>
    <w:rsid w:val="00D43644"/>
    <w:rsid w:val="00D445EA"/>
    <w:rsid w:val="00D45411"/>
    <w:rsid w:val="00D46A76"/>
    <w:rsid w:val="00D46E39"/>
    <w:rsid w:val="00D522E2"/>
    <w:rsid w:val="00D55DFF"/>
    <w:rsid w:val="00D56BDE"/>
    <w:rsid w:val="00D57107"/>
    <w:rsid w:val="00D57F8A"/>
    <w:rsid w:val="00D60259"/>
    <w:rsid w:val="00D621CB"/>
    <w:rsid w:val="00D6456F"/>
    <w:rsid w:val="00D665B8"/>
    <w:rsid w:val="00D70F03"/>
    <w:rsid w:val="00D74306"/>
    <w:rsid w:val="00D7625F"/>
    <w:rsid w:val="00D80C44"/>
    <w:rsid w:val="00D820EA"/>
    <w:rsid w:val="00D84ACE"/>
    <w:rsid w:val="00D86279"/>
    <w:rsid w:val="00D86623"/>
    <w:rsid w:val="00D867B1"/>
    <w:rsid w:val="00D8680C"/>
    <w:rsid w:val="00D87715"/>
    <w:rsid w:val="00D918F7"/>
    <w:rsid w:val="00D974AC"/>
    <w:rsid w:val="00DA28C5"/>
    <w:rsid w:val="00DA6A80"/>
    <w:rsid w:val="00DA7694"/>
    <w:rsid w:val="00DB009A"/>
    <w:rsid w:val="00DB2594"/>
    <w:rsid w:val="00DC108B"/>
    <w:rsid w:val="00DC280D"/>
    <w:rsid w:val="00DC32E5"/>
    <w:rsid w:val="00DC79F1"/>
    <w:rsid w:val="00DD0BFC"/>
    <w:rsid w:val="00DD52AF"/>
    <w:rsid w:val="00DD6E2C"/>
    <w:rsid w:val="00DE208C"/>
    <w:rsid w:val="00DE24E1"/>
    <w:rsid w:val="00DE3F10"/>
    <w:rsid w:val="00DE5FD2"/>
    <w:rsid w:val="00DF1698"/>
    <w:rsid w:val="00DF25FC"/>
    <w:rsid w:val="00DF44D0"/>
    <w:rsid w:val="00DF627D"/>
    <w:rsid w:val="00E00225"/>
    <w:rsid w:val="00E004E4"/>
    <w:rsid w:val="00E043CD"/>
    <w:rsid w:val="00E047FA"/>
    <w:rsid w:val="00E05358"/>
    <w:rsid w:val="00E126C8"/>
    <w:rsid w:val="00E13CB0"/>
    <w:rsid w:val="00E148D0"/>
    <w:rsid w:val="00E16151"/>
    <w:rsid w:val="00E22CFA"/>
    <w:rsid w:val="00E23132"/>
    <w:rsid w:val="00E23EC8"/>
    <w:rsid w:val="00E263C4"/>
    <w:rsid w:val="00E26E5F"/>
    <w:rsid w:val="00E34B80"/>
    <w:rsid w:val="00E359D2"/>
    <w:rsid w:val="00E37B88"/>
    <w:rsid w:val="00E37EC0"/>
    <w:rsid w:val="00E4007B"/>
    <w:rsid w:val="00E444C3"/>
    <w:rsid w:val="00E45D5D"/>
    <w:rsid w:val="00E5134C"/>
    <w:rsid w:val="00E53266"/>
    <w:rsid w:val="00E532A3"/>
    <w:rsid w:val="00E53E85"/>
    <w:rsid w:val="00E54C9C"/>
    <w:rsid w:val="00E56B4A"/>
    <w:rsid w:val="00E57B48"/>
    <w:rsid w:val="00E635FA"/>
    <w:rsid w:val="00E7237C"/>
    <w:rsid w:val="00E744DC"/>
    <w:rsid w:val="00E74B6A"/>
    <w:rsid w:val="00E7558C"/>
    <w:rsid w:val="00E76E9B"/>
    <w:rsid w:val="00E80975"/>
    <w:rsid w:val="00E90C94"/>
    <w:rsid w:val="00E93073"/>
    <w:rsid w:val="00E959A5"/>
    <w:rsid w:val="00E97AC5"/>
    <w:rsid w:val="00EA0422"/>
    <w:rsid w:val="00EA0BF6"/>
    <w:rsid w:val="00EA3D83"/>
    <w:rsid w:val="00EA4704"/>
    <w:rsid w:val="00EA78DD"/>
    <w:rsid w:val="00EB0983"/>
    <w:rsid w:val="00EB1C95"/>
    <w:rsid w:val="00EB66A2"/>
    <w:rsid w:val="00EB6D6D"/>
    <w:rsid w:val="00EB7E87"/>
    <w:rsid w:val="00EB7FFC"/>
    <w:rsid w:val="00EC044D"/>
    <w:rsid w:val="00EC1DEB"/>
    <w:rsid w:val="00ED1D40"/>
    <w:rsid w:val="00ED52B6"/>
    <w:rsid w:val="00ED57CA"/>
    <w:rsid w:val="00EE0C48"/>
    <w:rsid w:val="00EE15B3"/>
    <w:rsid w:val="00EE27AD"/>
    <w:rsid w:val="00EE66B3"/>
    <w:rsid w:val="00EF020A"/>
    <w:rsid w:val="00EF522D"/>
    <w:rsid w:val="00EF63F0"/>
    <w:rsid w:val="00EF7481"/>
    <w:rsid w:val="00F033BD"/>
    <w:rsid w:val="00F0348A"/>
    <w:rsid w:val="00F05323"/>
    <w:rsid w:val="00F07923"/>
    <w:rsid w:val="00F110D8"/>
    <w:rsid w:val="00F11EB8"/>
    <w:rsid w:val="00F1486B"/>
    <w:rsid w:val="00F15842"/>
    <w:rsid w:val="00F2093B"/>
    <w:rsid w:val="00F21B9B"/>
    <w:rsid w:val="00F22ADF"/>
    <w:rsid w:val="00F2411D"/>
    <w:rsid w:val="00F24EAF"/>
    <w:rsid w:val="00F26285"/>
    <w:rsid w:val="00F3100A"/>
    <w:rsid w:val="00F364B8"/>
    <w:rsid w:val="00F4245C"/>
    <w:rsid w:val="00F4761F"/>
    <w:rsid w:val="00F63143"/>
    <w:rsid w:val="00F649B1"/>
    <w:rsid w:val="00F66644"/>
    <w:rsid w:val="00F67AFF"/>
    <w:rsid w:val="00F70761"/>
    <w:rsid w:val="00F77583"/>
    <w:rsid w:val="00F8123F"/>
    <w:rsid w:val="00F82B45"/>
    <w:rsid w:val="00F8378A"/>
    <w:rsid w:val="00F84749"/>
    <w:rsid w:val="00F84ADD"/>
    <w:rsid w:val="00F86BD1"/>
    <w:rsid w:val="00F91996"/>
    <w:rsid w:val="00F92BAB"/>
    <w:rsid w:val="00F933E9"/>
    <w:rsid w:val="00F97C31"/>
    <w:rsid w:val="00FA137D"/>
    <w:rsid w:val="00FA44B0"/>
    <w:rsid w:val="00FA5563"/>
    <w:rsid w:val="00FB450B"/>
    <w:rsid w:val="00FB5BCD"/>
    <w:rsid w:val="00FB5E36"/>
    <w:rsid w:val="00FB74BC"/>
    <w:rsid w:val="00FC491D"/>
    <w:rsid w:val="00FC6910"/>
    <w:rsid w:val="00FC6921"/>
    <w:rsid w:val="00FC6D79"/>
    <w:rsid w:val="00FD3964"/>
    <w:rsid w:val="00FD39D8"/>
    <w:rsid w:val="00FE164A"/>
    <w:rsid w:val="00FE27F1"/>
    <w:rsid w:val="00FE2C1B"/>
    <w:rsid w:val="00FE33D1"/>
    <w:rsid w:val="00FE5DBC"/>
    <w:rsid w:val="00FE6CDE"/>
    <w:rsid w:val="00FE76BB"/>
    <w:rsid w:val="00FF08BE"/>
    <w:rsid w:val="00FF3487"/>
    <w:rsid w:val="00FF5E0D"/>
    <w:rsid w:val="00FF66BF"/>
    <w:rsid w:val="00FF7743"/>
    <w:rsid w:val="015A6F93"/>
    <w:rsid w:val="01631811"/>
    <w:rsid w:val="016B4564"/>
    <w:rsid w:val="017D5D1D"/>
    <w:rsid w:val="01BA74D8"/>
    <w:rsid w:val="020D19A5"/>
    <w:rsid w:val="021676D0"/>
    <w:rsid w:val="02393086"/>
    <w:rsid w:val="02D600F2"/>
    <w:rsid w:val="02FC6355"/>
    <w:rsid w:val="03593878"/>
    <w:rsid w:val="04110DB9"/>
    <w:rsid w:val="043A2F8F"/>
    <w:rsid w:val="0476682D"/>
    <w:rsid w:val="05002E02"/>
    <w:rsid w:val="05031CD2"/>
    <w:rsid w:val="05CB5824"/>
    <w:rsid w:val="05FA0329"/>
    <w:rsid w:val="067052C3"/>
    <w:rsid w:val="06792186"/>
    <w:rsid w:val="06C05DF1"/>
    <w:rsid w:val="06FE791D"/>
    <w:rsid w:val="0777361A"/>
    <w:rsid w:val="07EE0062"/>
    <w:rsid w:val="082B3897"/>
    <w:rsid w:val="089F16FF"/>
    <w:rsid w:val="08B839A7"/>
    <w:rsid w:val="08B8664E"/>
    <w:rsid w:val="093B5873"/>
    <w:rsid w:val="0989435F"/>
    <w:rsid w:val="099519C5"/>
    <w:rsid w:val="09CD3996"/>
    <w:rsid w:val="09D74EA7"/>
    <w:rsid w:val="09EC4264"/>
    <w:rsid w:val="0A3E7258"/>
    <w:rsid w:val="0A810267"/>
    <w:rsid w:val="0A923799"/>
    <w:rsid w:val="0B27191F"/>
    <w:rsid w:val="0B756EE5"/>
    <w:rsid w:val="0B7F45B1"/>
    <w:rsid w:val="0B892750"/>
    <w:rsid w:val="0BDC0583"/>
    <w:rsid w:val="0C0153DD"/>
    <w:rsid w:val="0C226789"/>
    <w:rsid w:val="0C9B6BDE"/>
    <w:rsid w:val="0D443BAB"/>
    <w:rsid w:val="0D9C44AE"/>
    <w:rsid w:val="0DB310B9"/>
    <w:rsid w:val="0E0E6E05"/>
    <w:rsid w:val="0E2A3C7E"/>
    <w:rsid w:val="0E667322"/>
    <w:rsid w:val="106C344B"/>
    <w:rsid w:val="11825DED"/>
    <w:rsid w:val="11CC0CF7"/>
    <w:rsid w:val="125D7196"/>
    <w:rsid w:val="12D81B42"/>
    <w:rsid w:val="12DE5484"/>
    <w:rsid w:val="13450C83"/>
    <w:rsid w:val="13971B9C"/>
    <w:rsid w:val="13B10BF5"/>
    <w:rsid w:val="14406889"/>
    <w:rsid w:val="148B7538"/>
    <w:rsid w:val="14A625C4"/>
    <w:rsid w:val="15456944"/>
    <w:rsid w:val="158E2960"/>
    <w:rsid w:val="15B02301"/>
    <w:rsid w:val="15B900D5"/>
    <w:rsid w:val="15BC239F"/>
    <w:rsid w:val="15EB6FD8"/>
    <w:rsid w:val="16D020A6"/>
    <w:rsid w:val="1732296F"/>
    <w:rsid w:val="17577BA6"/>
    <w:rsid w:val="180745E2"/>
    <w:rsid w:val="18251935"/>
    <w:rsid w:val="182E23CB"/>
    <w:rsid w:val="19234148"/>
    <w:rsid w:val="19554F65"/>
    <w:rsid w:val="1A4B726F"/>
    <w:rsid w:val="1A9E051C"/>
    <w:rsid w:val="1AD52847"/>
    <w:rsid w:val="1B617245"/>
    <w:rsid w:val="1BE96DB9"/>
    <w:rsid w:val="1C6063F2"/>
    <w:rsid w:val="1C9D0878"/>
    <w:rsid w:val="1CC92774"/>
    <w:rsid w:val="1D360CAF"/>
    <w:rsid w:val="1DE67B38"/>
    <w:rsid w:val="1E2702D2"/>
    <w:rsid w:val="1E6C23CF"/>
    <w:rsid w:val="1E982F7E"/>
    <w:rsid w:val="1EE066D3"/>
    <w:rsid w:val="1F42768A"/>
    <w:rsid w:val="1F444EEC"/>
    <w:rsid w:val="1FD32CA9"/>
    <w:rsid w:val="20566C4C"/>
    <w:rsid w:val="205B2F0B"/>
    <w:rsid w:val="20992B53"/>
    <w:rsid w:val="219007AD"/>
    <w:rsid w:val="22A32749"/>
    <w:rsid w:val="22BC3B75"/>
    <w:rsid w:val="22FC1BC3"/>
    <w:rsid w:val="2319638A"/>
    <w:rsid w:val="23FC7B0B"/>
    <w:rsid w:val="24462735"/>
    <w:rsid w:val="246A2CE6"/>
    <w:rsid w:val="246A50D2"/>
    <w:rsid w:val="248A4409"/>
    <w:rsid w:val="248E11D6"/>
    <w:rsid w:val="24B9159D"/>
    <w:rsid w:val="24CB5C4B"/>
    <w:rsid w:val="24E32DAB"/>
    <w:rsid w:val="24E923FB"/>
    <w:rsid w:val="2531293C"/>
    <w:rsid w:val="253B219B"/>
    <w:rsid w:val="26957A51"/>
    <w:rsid w:val="26B96E8C"/>
    <w:rsid w:val="26F249ED"/>
    <w:rsid w:val="273D4781"/>
    <w:rsid w:val="27B4468E"/>
    <w:rsid w:val="27DA0463"/>
    <w:rsid w:val="28707469"/>
    <w:rsid w:val="28783A2B"/>
    <w:rsid w:val="29B1262B"/>
    <w:rsid w:val="2A2A4C73"/>
    <w:rsid w:val="2A4A78A8"/>
    <w:rsid w:val="2A7549B2"/>
    <w:rsid w:val="2A774887"/>
    <w:rsid w:val="2A845833"/>
    <w:rsid w:val="2B413619"/>
    <w:rsid w:val="2B524768"/>
    <w:rsid w:val="2BB403F8"/>
    <w:rsid w:val="2BB61599"/>
    <w:rsid w:val="2BD5790F"/>
    <w:rsid w:val="2C190935"/>
    <w:rsid w:val="2CB478CC"/>
    <w:rsid w:val="2CC8228F"/>
    <w:rsid w:val="2D107C7C"/>
    <w:rsid w:val="2DBF3188"/>
    <w:rsid w:val="2DE37B7D"/>
    <w:rsid w:val="2DF930BE"/>
    <w:rsid w:val="2E572921"/>
    <w:rsid w:val="2E9314EA"/>
    <w:rsid w:val="2EAA08AC"/>
    <w:rsid w:val="2EC7754C"/>
    <w:rsid w:val="2F24385E"/>
    <w:rsid w:val="2F6A6270"/>
    <w:rsid w:val="2F9771D1"/>
    <w:rsid w:val="2FED7838"/>
    <w:rsid w:val="30123428"/>
    <w:rsid w:val="301D2010"/>
    <w:rsid w:val="303210DF"/>
    <w:rsid w:val="30CA599B"/>
    <w:rsid w:val="31320D46"/>
    <w:rsid w:val="31A42500"/>
    <w:rsid w:val="3246124C"/>
    <w:rsid w:val="32644E19"/>
    <w:rsid w:val="329216BA"/>
    <w:rsid w:val="32B47692"/>
    <w:rsid w:val="32F347CF"/>
    <w:rsid w:val="331309CD"/>
    <w:rsid w:val="33740415"/>
    <w:rsid w:val="33D87A78"/>
    <w:rsid w:val="348F7A8A"/>
    <w:rsid w:val="349959E0"/>
    <w:rsid w:val="34A77E97"/>
    <w:rsid w:val="35090DA4"/>
    <w:rsid w:val="354D46FF"/>
    <w:rsid w:val="35505F84"/>
    <w:rsid w:val="359C6031"/>
    <w:rsid w:val="35A770DC"/>
    <w:rsid w:val="35B2271F"/>
    <w:rsid w:val="367E61AB"/>
    <w:rsid w:val="370D66EC"/>
    <w:rsid w:val="37732734"/>
    <w:rsid w:val="37900A99"/>
    <w:rsid w:val="383F24F1"/>
    <w:rsid w:val="38D43EF2"/>
    <w:rsid w:val="39266FA3"/>
    <w:rsid w:val="3A8A3AFC"/>
    <w:rsid w:val="3AA60379"/>
    <w:rsid w:val="3ACF78CF"/>
    <w:rsid w:val="3AF67755"/>
    <w:rsid w:val="3AFD663D"/>
    <w:rsid w:val="3B227CE0"/>
    <w:rsid w:val="3B4C29E5"/>
    <w:rsid w:val="3B9351A4"/>
    <w:rsid w:val="3C331B7E"/>
    <w:rsid w:val="3C87245E"/>
    <w:rsid w:val="3CF322FA"/>
    <w:rsid w:val="3CF645B8"/>
    <w:rsid w:val="3D213B64"/>
    <w:rsid w:val="3D230395"/>
    <w:rsid w:val="3D2D7ED8"/>
    <w:rsid w:val="3DA73215"/>
    <w:rsid w:val="3E0B0606"/>
    <w:rsid w:val="3E1165E7"/>
    <w:rsid w:val="3E1C043D"/>
    <w:rsid w:val="3E2210F2"/>
    <w:rsid w:val="3EAA7F1E"/>
    <w:rsid w:val="3F5C3859"/>
    <w:rsid w:val="3FC75019"/>
    <w:rsid w:val="3FDE2BA4"/>
    <w:rsid w:val="40303DA2"/>
    <w:rsid w:val="403676F7"/>
    <w:rsid w:val="40580A2B"/>
    <w:rsid w:val="414807F5"/>
    <w:rsid w:val="415678DB"/>
    <w:rsid w:val="41BB2DBC"/>
    <w:rsid w:val="41D33C23"/>
    <w:rsid w:val="41E4497F"/>
    <w:rsid w:val="42026256"/>
    <w:rsid w:val="420550FD"/>
    <w:rsid w:val="427F7E2D"/>
    <w:rsid w:val="42B821D9"/>
    <w:rsid w:val="435F03EA"/>
    <w:rsid w:val="438D1E23"/>
    <w:rsid w:val="442E2712"/>
    <w:rsid w:val="44935D5D"/>
    <w:rsid w:val="44E225E4"/>
    <w:rsid w:val="450E50EF"/>
    <w:rsid w:val="454A3784"/>
    <w:rsid w:val="45BA1E50"/>
    <w:rsid w:val="461E6EA1"/>
    <w:rsid w:val="46FB4357"/>
    <w:rsid w:val="474C31B0"/>
    <w:rsid w:val="4756552D"/>
    <w:rsid w:val="47C801F3"/>
    <w:rsid w:val="480F7BBB"/>
    <w:rsid w:val="489F2E98"/>
    <w:rsid w:val="48DC0829"/>
    <w:rsid w:val="497E71F5"/>
    <w:rsid w:val="4A401B20"/>
    <w:rsid w:val="4A5428AD"/>
    <w:rsid w:val="4A8F4687"/>
    <w:rsid w:val="4B037AE3"/>
    <w:rsid w:val="4B7D6C6B"/>
    <w:rsid w:val="4B843F2F"/>
    <w:rsid w:val="4B845D1A"/>
    <w:rsid w:val="4BC66ACD"/>
    <w:rsid w:val="4BDA2328"/>
    <w:rsid w:val="4BF15B67"/>
    <w:rsid w:val="4BF420C4"/>
    <w:rsid w:val="4C427AFB"/>
    <w:rsid w:val="4CC57D42"/>
    <w:rsid w:val="4CE8310B"/>
    <w:rsid w:val="4CEF5C02"/>
    <w:rsid w:val="4D211BCF"/>
    <w:rsid w:val="4D3371AD"/>
    <w:rsid w:val="4D7434E5"/>
    <w:rsid w:val="4DAE7EA0"/>
    <w:rsid w:val="4E257ADB"/>
    <w:rsid w:val="4E261909"/>
    <w:rsid w:val="4E4B4DDB"/>
    <w:rsid w:val="4E7D58B2"/>
    <w:rsid w:val="4F411BBA"/>
    <w:rsid w:val="4F536B6B"/>
    <w:rsid w:val="4F585C8E"/>
    <w:rsid w:val="4FD166E3"/>
    <w:rsid w:val="4FEF68FA"/>
    <w:rsid w:val="505515C5"/>
    <w:rsid w:val="50A63CF8"/>
    <w:rsid w:val="50B916C7"/>
    <w:rsid w:val="520C1E57"/>
    <w:rsid w:val="52195388"/>
    <w:rsid w:val="52791307"/>
    <w:rsid w:val="52C614A1"/>
    <w:rsid w:val="53406C4D"/>
    <w:rsid w:val="53EB36B9"/>
    <w:rsid w:val="542A263F"/>
    <w:rsid w:val="54507C68"/>
    <w:rsid w:val="54537209"/>
    <w:rsid w:val="54C51CC0"/>
    <w:rsid w:val="54EE7A00"/>
    <w:rsid w:val="55BE2D74"/>
    <w:rsid w:val="55EE10FA"/>
    <w:rsid w:val="56020701"/>
    <w:rsid w:val="56156687"/>
    <w:rsid w:val="56253A74"/>
    <w:rsid w:val="56A93C33"/>
    <w:rsid w:val="5787728B"/>
    <w:rsid w:val="579C7C04"/>
    <w:rsid w:val="582E7771"/>
    <w:rsid w:val="586B712A"/>
    <w:rsid w:val="597E615D"/>
    <w:rsid w:val="59946F54"/>
    <w:rsid w:val="59FE56A9"/>
    <w:rsid w:val="5A5C088B"/>
    <w:rsid w:val="5A7519D9"/>
    <w:rsid w:val="5A9A5EF1"/>
    <w:rsid w:val="5B316879"/>
    <w:rsid w:val="5B3A3429"/>
    <w:rsid w:val="5BB575B8"/>
    <w:rsid w:val="5BE169EA"/>
    <w:rsid w:val="5C115746"/>
    <w:rsid w:val="5C2A09B2"/>
    <w:rsid w:val="5C2A197C"/>
    <w:rsid w:val="5C547EF4"/>
    <w:rsid w:val="5C5B595B"/>
    <w:rsid w:val="5C645D43"/>
    <w:rsid w:val="5CE56EBA"/>
    <w:rsid w:val="5D2934EA"/>
    <w:rsid w:val="5D667EE0"/>
    <w:rsid w:val="5D6928D6"/>
    <w:rsid w:val="5D727EE0"/>
    <w:rsid w:val="5DE93924"/>
    <w:rsid w:val="5E8715BD"/>
    <w:rsid w:val="5E887797"/>
    <w:rsid w:val="5EB8787F"/>
    <w:rsid w:val="5ED14643"/>
    <w:rsid w:val="5EE777FB"/>
    <w:rsid w:val="5F0E4D36"/>
    <w:rsid w:val="5F181EF2"/>
    <w:rsid w:val="5F1940ED"/>
    <w:rsid w:val="5F22751C"/>
    <w:rsid w:val="602C1F09"/>
    <w:rsid w:val="60502347"/>
    <w:rsid w:val="60675D31"/>
    <w:rsid w:val="608263E4"/>
    <w:rsid w:val="61561B83"/>
    <w:rsid w:val="6191444E"/>
    <w:rsid w:val="61B5526B"/>
    <w:rsid w:val="61DB3221"/>
    <w:rsid w:val="62155D8B"/>
    <w:rsid w:val="621C0E48"/>
    <w:rsid w:val="64270182"/>
    <w:rsid w:val="643959F4"/>
    <w:rsid w:val="644C1108"/>
    <w:rsid w:val="65727950"/>
    <w:rsid w:val="65E9263C"/>
    <w:rsid w:val="666254C5"/>
    <w:rsid w:val="666A5CB3"/>
    <w:rsid w:val="6707259A"/>
    <w:rsid w:val="67473BCD"/>
    <w:rsid w:val="685130C4"/>
    <w:rsid w:val="6859605E"/>
    <w:rsid w:val="6886211E"/>
    <w:rsid w:val="68BA2FF5"/>
    <w:rsid w:val="692E0AA5"/>
    <w:rsid w:val="69F7775E"/>
    <w:rsid w:val="6AA073FE"/>
    <w:rsid w:val="6AEE477E"/>
    <w:rsid w:val="6B123804"/>
    <w:rsid w:val="6B796D6D"/>
    <w:rsid w:val="6CA420BB"/>
    <w:rsid w:val="6CB66E07"/>
    <w:rsid w:val="6CC938CF"/>
    <w:rsid w:val="6D232FC7"/>
    <w:rsid w:val="6D3D0007"/>
    <w:rsid w:val="6D473D35"/>
    <w:rsid w:val="6D4B2DA2"/>
    <w:rsid w:val="6D57021E"/>
    <w:rsid w:val="6D9F4484"/>
    <w:rsid w:val="6DC76019"/>
    <w:rsid w:val="6DFB78FF"/>
    <w:rsid w:val="6E2F2B95"/>
    <w:rsid w:val="6E612E7C"/>
    <w:rsid w:val="6EB94B54"/>
    <w:rsid w:val="6ED450D8"/>
    <w:rsid w:val="6EDB0079"/>
    <w:rsid w:val="6F4B06FB"/>
    <w:rsid w:val="6FE55E54"/>
    <w:rsid w:val="6FF74116"/>
    <w:rsid w:val="70066985"/>
    <w:rsid w:val="70540B5F"/>
    <w:rsid w:val="70560679"/>
    <w:rsid w:val="70615631"/>
    <w:rsid w:val="70CC53D1"/>
    <w:rsid w:val="70FA08E1"/>
    <w:rsid w:val="71651CBE"/>
    <w:rsid w:val="71AC6215"/>
    <w:rsid w:val="71B13283"/>
    <w:rsid w:val="71B72FEA"/>
    <w:rsid w:val="71E92AD2"/>
    <w:rsid w:val="721063EE"/>
    <w:rsid w:val="729062A4"/>
    <w:rsid w:val="73D025E2"/>
    <w:rsid w:val="741B0F3E"/>
    <w:rsid w:val="74F80271"/>
    <w:rsid w:val="75870428"/>
    <w:rsid w:val="75B05941"/>
    <w:rsid w:val="75E51AE4"/>
    <w:rsid w:val="762533B9"/>
    <w:rsid w:val="76327043"/>
    <w:rsid w:val="76735302"/>
    <w:rsid w:val="76A271F5"/>
    <w:rsid w:val="76CC1CFD"/>
    <w:rsid w:val="772B28DC"/>
    <w:rsid w:val="77744D06"/>
    <w:rsid w:val="77A653E7"/>
    <w:rsid w:val="77B64384"/>
    <w:rsid w:val="77F56B9B"/>
    <w:rsid w:val="78834A03"/>
    <w:rsid w:val="78866B18"/>
    <w:rsid w:val="79390061"/>
    <w:rsid w:val="798E0BAC"/>
    <w:rsid w:val="79B46489"/>
    <w:rsid w:val="7A2F65AA"/>
    <w:rsid w:val="7A350AE6"/>
    <w:rsid w:val="7A9529ED"/>
    <w:rsid w:val="7B9A422C"/>
    <w:rsid w:val="7B9B5741"/>
    <w:rsid w:val="7C445025"/>
    <w:rsid w:val="7C4763DB"/>
    <w:rsid w:val="7CFE6BD8"/>
    <w:rsid w:val="7D664EE4"/>
    <w:rsid w:val="7D706F8B"/>
    <w:rsid w:val="7D9019BD"/>
    <w:rsid w:val="7DAF3942"/>
    <w:rsid w:val="7DDF4E43"/>
    <w:rsid w:val="7DEB7124"/>
    <w:rsid w:val="7E0C76F2"/>
    <w:rsid w:val="7ED7197F"/>
    <w:rsid w:val="7F1D17B1"/>
    <w:rsid w:val="7F4D40CB"/>
    <w:rsid w:val="7FCF228C"/>
    <w:rsid w:val="F4DBBA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7"/>
    <w:qFormat/>
    <w:uiPriority w:val="0"/>
    <w:pPr>
      <w:keepNext/>
      <w:jc w:val="center"/>
      <w:outlineLvl w:val="0"/>
    </w:pPr>
    <w:rPr>
      <w:rFonts w:ascii="KaiTi_GB2312" w:eastAsia="KaiTi_GB2312"/>
      <w:sz w:val="28"/>
      <w:szCs w:val="28"/>
    </w:rPr>
  </w:style>
  <w:style w:type="paragraph" w:styleId="4">
    <w:name w:val="heading 2"/>
    <w:basedOn w:val="1"/>
    <w:next w:val="5"/>
    <w:link w:val="48"/>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49"/>
    <w:qFormat/>
    <w:uiPriority w:val="99"/>
    <w:pPr>
      <w:keepNext/>
      <w:keepLines/>
      <w:spacing w:before="260" w:after="260" w:line="416" w:lineRule="auto"/>
      <w:outlineLvl w:val="2"/>
    </w:pPr>
    <w:rPr>
      <w:b/>
      <w:bCs/>
      <w:sz w:val="32"/>
      <w:szCs w:val="32"/>
    </w:rPr>
  </w:style>
  <w:style w:type="paragraph" w:styleId="7">
    <w:name w:val="heading 4"/>
    <w:basedOn w:val="1"/>
    <w:next w:val="5"/>
    <w:link w:val="50"/>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51"/>
    <w:qFormat/>
    <w:uiPriority w:val="99"/>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2"/>
    <w:qFormat/>
    <w:uiPriority w:val="99"/>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53"/>
    <w:qFormat/>
    <w:uiPriority w:val="9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54"/>
    <w:qFormat/>
    <w:uiPriority w:val="99"/>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55"/>
    <w:qFormat/>
    <w:uiPriority w:val="99"/>
    <w:pPr>
      <w:keepNext/>
      <w:keepLines/>
      <w:numPr>
        <w:ilvl w:val="8"/>
        <w:numId w:val="1"/>
      </w:numPr>
      <w:spacing w:before="240" w:after="64" w:line="320" w:lineRule="auto"/>
      <w:outlineLvl w:val="8"/>
    </w:pPr>
    <w:rPr>
      <w:rFonts w:ascii="Arial" w:hAnsi="Arial" w:eastAsia="黑体"/>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59"/>
    <w:qFormat/>
    <w:uiPriority w:val="99"/>
    <w:pPr>
      <w:spacing w:line="360" w:lineRule="auto"/>
      <w:ind w:firstLine="200" w:firstLineChars="200"/>
    </w:pPr>
    <w:rPr>
      <w:rFonts w:ascii="仿宋_GB2312" w:eastAsia="仿宋_GB2312"/>
      <w:sz w:val="30"/>
      <w:szCs w:val="30"/>
    </w:rPr>
  </w:style>
  <w:style w:type="paragraph" w:styleId="5">
    <w:name w:val="Normal Indent"/>
    <w:basedOn w:val="1"/>
    <w:link w:val="72"/>
    <w:qFormat/>
    <w:uiPriority w:val="99"/>
    <w:pPr>
      <w:ind w:firstLine="420"/>
    </w:pPr>
    <w:rPr>
      <w:kern w:val="0"/>
      <w:szCs w:val="20"/>
    </w:rPr>
  </w:style>
  <w:style w:type="paragraph" w:styleId="13">
    <w:name w:val="List 3"/>
    <w:basedOn w:val="1"/>
    <w:qFormat/>
    <w:uiPriority w:val="99"/>
    <w:pPr>
      <w:ind w:left="100" w:leftChars="400" w:hanging="200" w:hangingChars="200"/>
    </w:pPr>
  </w:style>
  <w:style w:type="paragraph" w:styleId="14">
    <w:name w:val="Document Map"/>
    <w:basedOn w:val="1"/>
    <w:link w:val="60"/>
    <w:semiHidden/>
    <w:qFormat/>
    <w:uiPriority w:val="99"/>
    <w:pPr>
      <w:shd w:val="clear" w:color="auto" w:fill="000080"/>
    </w:pPr>
  </w:style>
  <w:style w:type="paragraph" w:styleId="15">
    <w:name w:val="annotation text"/>
    <w:basedOn w:val="1"/>
    <w:link w:val="93"/>
    <w:semiHidden/>
    <w:qFormat/>
    <w:uiPriority w:val="99"/>
    <w:pPr>
      <w:jc w:val="left"/>
    </w:pPr>
  </w:style>
  <w:style w:type="paragraph" w:styleId="16">
    <w:name w:val="Body Text 3"/>
    <w:basedOn w:val="1"/>
    <w:link w:val="61"/>
    <w:qFormat/>
    <w:uiPriority w:val="99"/>
    <w:rPr>
      <w:rFonts w:ascii="仿宋_GB2312" w:hAnsi="Arial" w:eastAsia="仿宋_GB2312"/>
      <w:sz w:val="32"/>
      <w:szCs w:val="32"/>
    </w:rPr>
  </w:style>
  <w:style w:type="paragraph" w:styleId="17">
    <w:name w:val="Body Text"/>
    <w:basedOn w:val="1"/>
    <w:next w:val="18"/>
    <w:link w:val="58"/>
    <w:qFormat/>
    <w:uiPriority w:val="99"/>
    <w:rPr>
      <w:rFonts w:ascii="KaiTi_GB2312" w:hAnsi="Arial" w:eastAsia="KaiTi_GB2312"/>
      <w:sz w:val="28"/>
      <w:szCs w:val="2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Body Text Indent"/>
    <w:basedOn w:val="1"/>
    <w:next w:val="20"/>
    <w:link w:val="62"/>
    <w:qFormat/>
    <w:uiPriority w:val="99"/>
    <w:pPr>
      <w:ind w:firstLine="645"/>
    </w:pPr>
    <w:rPr>
      <w:rFonts w:ascii="KaiTi_GB2312" w:eastAsia="KaiTi_GB2312"/>
      <w:sz w:val="32"/>
      <w:szCs w:val="32"/>
    </w:rPr>
  </w:style>
  <w:style w:type="paragraph" w:styleId="20">
    <w:name w:val="envelope return"/>
    <w:basedOn w:val="1"/>
    <w:qFormat/>
    <w:locked/>
    <w:uiPriority w:val="0"/>
    <w:pPr>
      <w:snapToGrid w:val="0"/>
    </w:pPr>
    <w:rPr>
      <w:rFonts w:ascii="Arial" w:hAnsi="Arial" w:eastAsia="宋体" w:cs="Times New Roman"/>
    </w:rPr>
  </w:style>
  <w:style w:type="paragraph" w:styleId="21">
    <w:name w:val="List 2"/>
    <w:basedOn w:val="1"/>
    <w:qFormat/>
    <w:uiPriority w:val="99"/>
    <w:pPr>
      <w:ind w:left="100" w:leftChars="200" w:hanging="200" w:hangingChars="200"/>
    </w:pPr>
  </w:style>
  <w:style w:type="paragraph" w:styleId="22">
    <w:name w:val="toc 3"/>
    <w:basedOn w:val="1"/>
    <w:next w:val="1"/>
    <w:unhideWhenUsed/>
    <w:qFormat/>
    <w:locked/>
    <w:uiPriority w:val="39"/>
    <w:pPr>
      <w:spacing w:line="360" w:lineRule="auto"/>
      <w:ind w:left="840" w:leftChars="400"/>
    </w:pPr>
    <w:rPr>
      <w:sz w:val="24"/>
      <w:szCs w:val="22"/>
    </w:rPr>
  </w:style>
  <w:style w:type="paragraph" w:styleId="23">
    <w:name w:val="Plain Text"/>
    <w:basedOn w:val="1"/>
    <w:link w:val="63"/>
    <w:qFormat/>
    <w:uiPriority w:val="0"/>
    <w:rPr>
      <w:rFonts w:ascii="宋体" w:hAnsi="Courier New" w:cs="Courier New"/>
    </w:rPr>
  </w:style>
  <w:style w:type="paragraph" w:styleId="24">
    <w:name w:val="Date"/>
    <w:basedOn w:val="1"/>
    <w:next w:val="1"/>
    <w:link w:val="64"/>
    <w:qFormat/>
    <w:uiPriority w:val="99"/>
    <w:rPr>
      <w:sz w:val="24"/>
      <w:szCs w:val="24"/>
    </w:rPr>
  </w:style>
  <w:style w:type="paragraph" w:styleId="25">
    <w:name w:val="Body Text Indent 2"/>
    <w:basedOn w:val="1"/>
    <w:link w:val="65"/>
    <w:qFormat/>
    <w:uiPriority w:val="99"/>
    <w:pPr>
      <w:ind w:left="630" w:firstLine="645"/>
    </w:pPr>
    <w:rPr>
      <w:rFonts w:ascii="Arial" w:hAnsi="Arial" w:eastAsia="仿宋_GB2312" w:cs="Arial"/>
      <w:sz w:val="32"/>
      <w:szCs w:val="32"/>
    </w:rPr>
  </w:style>
  <w:style w:type="paragraph" w:styleId="26">
    <w:name w:val="Balloon Text"/>
    <w:basedOn w:val="1"/>
    <w:link w:val="95"/>
    <w:semiHidden/>
    <w:qFormat/>
    <w:uiPriority w:val="99"/>
    <w:rPr>
      <w:sz w:val="18"/>
      <w:szCs w:val="18"/>
    </w:rPr>
  </w:style>
  <w:style w:type="paragraph" w:styleId="27">
    <w:name w:val="footer"/>
    <w:basedOn w:val="1"/>
    <w:link w:val="67"/>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locked/>
    <w:uiPriority w:val="39"/>
    <w:pPr>
      <w:spacing w:line="360" w:lineRule="auto"/>
    </w:pPr>
    <w:rPr>
      <w:sz w:val="24"/>
      <w:szCs w:val="22"/>
    </w:rPr>
  </w:style>
  <w:style w:type="paragraph" w:styleId="30">
    <w:name w:val="List"/>
    <w:basedOn w:val="1"/>
    <w:qFormat/>
    <w:uiPriority w:val="99"/>
    <w:pPr>
      <w:ind w:left="200" w:hanging="200" w:hangingChars="200"/>
    </w:pPr>
  </w:style>
  <w:style w:type="paragraph" w:styleId="31">
    <w:name w:val="Body Text Indent 3"/>
    <w:basedOn w:val="1"/>
    <w:link w:val="70"/>
    <w:qFormat/>
    <w:uiPriority w:val="99"/>
    <w:pPr>
      <w:ind w:left="645" w:firstLine="645"/>
    </w:pPr>
    <w:rPr>
      <w:rFonts w:ascii="Arial" w:hAnsi="Arial" w:eastAsia="仿宋_GB2312" w:cs="Arial"/>
      <w:color w:val="FFFF00"/>
      <w:sz w:val="32"/>
      <w:szCs w:val="32"/>
    </w:rPr>
  </w:style>
  <w:style w:type="paragraph" w:styleId="32">
    <w:name w:val="toc 2"/>
    <w:basedOn w:val="1"/>
    <w:next w:val="1"/>
    <w:unhideWhenUsed/>
    <w:qFormat/>
    <w:locked/>
    <w:uiPriority w:val="39"/>
    <w:pPr>
      <w:spacing w:line="360" w:lineRule="auto"/>
      <w:ind w:left="420" w:leftChars="200"/>
    </w:pPr>
    <w:rPr>
      <w:sz w:val="24"/>
      <w:szCs w:val="22"/>
    </w:rPr>
  </w:style>
  <w:style w:type="paragraph" w:styleId="33">
    <w:name w:val="Body Text 2"/>
    <w:basedOn w:val="1"/>
    <w:link w:val="71"/>
    <w:qFormat/>
    <w:uiPriority w:val="99"/>
    <w:pPr>
      <w:widowControl/>
      <w:jc w:val="center"/>
    </w:pPr>
    <w:rPr>
      <w:rFonts w:ascii="KaiTi_GB2312" w:eastAsia="KaiTi_GB2312"/>
      <w:sz w:val="28"/>
      <w:szCs w:val="28"/>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annotation subject"/>
    <w:basedOn w:val="15"/>
    <w:next w:val="15"/>
    <w:link w:val="94"/>
    <w:semiHidden/>
    <w:qFormat/>
    <w:uiPriority w:val="99"/>
    <w:rPr>
      <w:b/>
      <w:bCs/>
    </w:rPr>
  </w:style>
  <w:style w:type="paragraph" w:styleId="36">
    <w:name w:val="Body Text First Indent 2"/>
    <w:basedOn w:val="19"/>
    <w:link w:val="68"/>
    <w:qFormat/>
    <w:uiPriority w:val="99"/>
    <w:pPr>
      <w:spacing w:line="360" w:lineRule="auto"/>
      <w:ind w:firstLine="420" w:firstLineChars="200"/>
    </w:pPr>
    <w:rPr>
      <w:rFonts w:ascii="宋体" w:hAnsi="宋体" w:eastAsia="宋体"/>
      <w:sz w:val="21"/>
      <w:szCs w:val="20"/>
    </w:rPr>
  </w:style>
  <w:style w:type="table" w:styleId="38">
    <w:name w:val="Table Grid"/>
    <w:basedOn w:val="3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Strong"/>
    <w:basedOn w:val="39"/>
    <w:qFormat/>
    <w:uiPriority w:val="22"/>
    <w:rPr>
      <w:rFonts w:cs="Times New Roman"/>
      <w:b/>
    </w:rPr>
  </w:style>
  <w:style w:type="character" w:styleId="41">
    <w:name w:val="page number"/>
    <w:basedOn w:val="39"/>
    <w:qFormat/>
    <w:uiPriority w:val="99"/>
    <w:rPr>
      <w:rFonts w:cs="Times New Roman"/>
    </w:rPr>
  </w:style>
  <w:style w:type="character" w:styleId="42">
    <w:name w:val="FollowedHyperlink"/>
    <w:basedOn w:val="39"/>
    <w:qFormat/>
    <w:uiPriority w:val="99"/>
    <w:rPr>
      <w:rFonts w:cs="Times New Roman"/>
      <w:color w:val="800080"/>
      <w:u w:val="single"/>
    </w:rPr>
  </w:style>
  <w:style w:type="character" w:styleId="43">
    <w:name w:val="Emphasis"/>
    <w:basedOn w:val="39"/>
    <w:qFormat/>
    <w:locked/>
    <w:uiPriority w:val="0"/>
    <w:rPr>
      <w:i/>
    </w:rPr>
  </w:style>
  <w:style w:type="character" w:styleId="44">
    <w:name w:val="Hyperlink"/>
    <w:basedOn w:val="39"/>
    <w:qFormat/>
    <w:uiPriority w:val="99"/>
    <w:rPr>
      <w:rFonts w:cs="Times New Roman"/>
      <w:color w:val="0000FF"/>
      <w:u w:val="single"/>
    </w:rPr>
  </w:style>
  <w:style w:type="character" w:styleId="45">
    <w:name w:val="annotation reference"/>
    <w:basedOn w:val="39"/>
    <w:semiHidden/>
    <w:qFormat/>
    <w:uiPriority w:val="99"/>
    <w:rPr>
      <w:rFonts w:cs="Times New Roman"/>
      <w:sz w:val="21"/>
    </w:rPr>
  </w:style>
  <w:style w:type="paragraph" w:customStyle="1" w:styleId="46">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character" w:customStyle="1" w:styleId="47">
    <w:name w:val="标题 1 Char"/>
    <w:basedOn w:val="39"/>
    <w:link w:val="3"/>
    <w:qFormat/>
    <w:locked/>
    <w:uiPriority w:val="99"/>
    <w:rPr>
      <w:rFonts w:ascii="KaiTi_GB2312" w:hAnsi="Times New Roman" w:eastAsia="KaiTi_GB2312" w:cs="Times New Roman"/>
      <w:sz w:val="28"/>
      <w:szCs w:val="28"/>
    </w:rPr>
  </w:style>
  <w:style w:type="character" w:customStyle="1" w:styleId="48">
    <w:name w:val="标题 2 Char"/>
    <w:basedOn w:val="39"/>
    <w:link w:val="4"/>
    <w:qFormat/>
    <w:locked/>
    <w:uiPriority w:val="99"/>
    <w:rPr>
      <w:rFonts w:ascii="Arial" w:hAnsi="Arial" w:eastAsia="幼圆" w:cs="Arial"/>
      <w:b/>
      <w:bCs/>
      <w:sz w:val="44"/>
      <w:szCs w:val="44"/>
    </w:rPr>
  </w:style>
  <w:style w:type="character" w:customStyle="1" w:styleId="49">
    <w:name w:val="标题 3 Char"/>
    <w:basedOn w:val="39"/>
    <w:link w:val="6"/>
    <w:qFormat/>
    <w:locked/>
    <w:uiPriority w:val="99"/>
    <w:rPr>
      <w:rFonts w:ascii="Times New Roman" w:hAnsi="Times New Roman" w:eastAsia="宋体" w:cs="Times New Roman"/>
      <w:b/>
      <w:bCs/>
      <w:sz w:val="32"/>
      <w:szCs w:val="32"/>
    </w:rPr>
  </w:style>
  <w:style w:type="character" w:customStyle="1" w:styleId="50">
    <w:name w:val="标题 4 Char"/>
    <w:basedOn w:val="39"/>
    <w:link w:val="7"/>
    <w:qFormat/>
    <w:locked/>
    <w:uiPriority w:val="99"/>
    <w:rPr>
      <w:rFonts w:ascii="Arial" w:hAnsi="Arial" w:eastAsia="黑体" w:cs="Arial"/>
      <w:b/>
      <w:bCs/>
      <w:sz w:val="28"/>
      <w:szCs w:val="28"/>
    </w:rPr>
  </w:style>
  <w:style w:type="character" w:customStyle="1" w:styleId="51">
    <w:name w:val="标题 5 Char"/>
    <w:basedOn w:val="39"/>
    <w:link w:val="8"/>
    <w:qFormat/>
    <w:locked/>
    <w:uiPriority w:val="99"/>
    <w:rPr>
      <w:rFonts w:ascii="宋体" w:hAnsi="Times New Roman" w:eastAsia="宋体" w:cs="Times New Roman"/>
      <w:color w:val="000000"/>
      <w:kern w:val="0"/>
      <w:sz w:val="28"/>
      <w:szCs w:val="28"/>
    </w:rPr>
  </w:style>
  <w:style w:type="character" w:customStyle="1" w:styleId="52">
    <w:name w:val="标题 6 Char"/>
    <w:basedOn w:val="39"/>
    <w:link w:val="9"/>
    <w:qFormat/>
    <w:locked/>
    <w:uiPriority w:val="99"/>
    <w:rPr>
      <w:rFonts w:ascii="Arial" w:hAnsi="Arial" w:eastAsia="黑体" w:cs="Times New Roman"/>
      <w:b/>
      <w:bCs/>
      <w:sz w:val="24"/>
      <w:szCs w:val="24"/>
    </w:rPr>
  </w:style>
  <w:style w:type="character" w:customStyle="1" w:styleId="53">
    <w:name w:val="标题 7 Char"/>
    <w:basedOn w:val="39"/>
    <w:link w:val="10"/>
    <w:qFormat/>
    <w:locked/>
    <w:uiPriority w:val="99"/>
    <w:rPr>
      <w:rFonts w:ascii="Times New Roman" w:hAnsi="Times New Roman" w:eastAsia="宋体" w:cs="Times New Roman"/>
      <w:b/>
      <w:bCs/>
      <w:sz w:val="24"/>
      <w:szCs w:val="24"/>
    </w:rPr>
  </w:style>
  <w:style w:type="character" w:customStyle="1" w:styleId="54">
    <w:name w:val="标题 8 Char"/>
    <w:basedOn w:val="39"/>
    <w:link w:val="11"/>
    <w:qFormat/>
    <w:locked/>
    <w:uiPriority w:val="99"/>
    <w:rPr>
      <w:rFonts w:ascii="Arial" w:hAnsi="Arial" w:eastAsia="黑体" w:cs="Times New Roman"/>
      <w:sz w:val="24"/>
      <w:szCs w:val="24"/>
    </w:rPr>
  </w:style>
  <w:style w:type="character" w:customStyle="1" w:styleId="55">
    <w:name w:val="标题 9 Char"/>
    <w:basedOn w:val="39"/>
    <w:link w:val="12"/>
    <w:qFormat/>
    <w:locked/>
    <w:uiPriority w:val="99"/>
    <w:rPr>
      <w:rFonts w:ascii="Arial" w:hAnsi="Arial" w:eastAsia="黑体" w:cs="Times New Roman"/>
      <w:sz w:val="21"/>
      <w:szCs w:val="21"/>
    </w:rPr>
  </w:style>
  <w:style w:type="character" w:customStyle="1" w:styleId="56">
    <w:name w:val="批注文字 Char1"/>
    <w:basedOn w:val="39"/>
    <w:semiHidden/>
    <w:qFormat/>
    <w:locked/>
    <w:uiPriority w:val="99"/>
    <w:rPr>
      <w:rFonts w:ascii="Times New Roman" w:hAnsi="Times New Roman" w:eastAsia="宋体" w:cs="Times New Roman"/>
      <w:sz w:val="21"/>
      <w:szCs w:val="21"/>
    </w:rPr>
  </w:style>
  <w:style w:type="character" w:customStyle="1" w:styleId="57">
    <w:name w:val="批注主题 Char1"/>
    <w:basedOn w:val="56"/>
    <w:semiHidden/>
    <w:qFormat/>
    <w:locked/>
    <w:uiPriority w:val="99"/>
    <w:rPr>
      <w:rFonts w:ascii="Times New Roman" w:hAnsi="Times New Roman" w:eastAsia="宋体" w:cs="Times New Roman"/>
      <w:b/>
      <w:bCs/>
      <w:sz w:val="21"/>
      <w:szCs w:val="21"/>
    </w:rPr>
  </w:style>
  <w:style w:type="character" w:customStyle="1" w:styleId="58">
    <w:name w:val="正文文本 Char"/>
    <w:basedOn w:val="39"/>
    <w:link w:val="17"/>
    <w:qFormat/>
    <w:locked/>
    <w:uiPriority w:val="99"/>
    <w:rPr>
      <w:rFonts w:ascii="KaiTi_GB2312" w:hAnsi="Arial" w:eastAsia="KaiTi_GB2312" w:cs="Times New Roman"/>
      <w:sz w:val="28"/>
      <w:szCs w:val="28"/>
    </w:rPr>
  </w:style>
  <w:style w:type="character" w:customStyle="1" w:styleId="59">
    <w:name w:val="正文首行缩进 Char"/>
    <w:basedOn w:val="58"/>
    <w:link w:val="2"/>
    <w:qFormat/>
    <w:locked/>
    <w:uiPriority w:val="99"/>
    <w:rPr>
      <w:rFonts w:ascii="仿宋_GB2312" w:hAnsi="Times New Roman" w:eastAsia="仿宋_GB2312" w:cs="Times New Roman"/>
      <w:sz w:val="30"/>
      <w:szCs w:val="30"/>
    </w:rPr>
  </w:style>
  <w:style w:type="character" w:customStyle="1" w:styleId="60">
    <w:name w:val="文档结构图 Char"/>
    <w:basedOn w:val="39"/>
    <w:link w:val="14"/>
    <w:semiHidden/>
    <w:qFormat/>
    <w:locked/>
    <w:uiPriority w:val="99"/>
    <w:rPr>
      <w:rFonts w:ascii="Times New Roman" w:hAnsi="Times New Roman" w:eastAsia="宋体" w:cs="Times New Roman"/>
      <w:sz w:val="21"/>
      <w:szCs w:val="21"/>
      <w:shd w:val="clear" w:color="auto" w:fill="000080"/>
    </w:rPr>
  </w:style>
  <w:style w:type="character" w:customStyle="1" w:styleId="61">
    <w:name w:val="正文文本 3 Char"/>
    <w:basedOn w:val="39"/>
    <w:link w:val="16"/>
    <w:qFormat/>
    <w:locked/>
    <w:uiPriority w:val="99"/>
    <w:rPr>
      <w:rFonts w:ascii="仿宋_GB2312" w:hAnsi="Arial" w:eastAsia="仿宋_GB2312" w:cs="Times New Roman"/>
      <w:sz w:val="32"/>
      <w:szCs w:val="32"/>
    </w:rPr>
  </w:style>
  <w:style w:type="character" w:customStyle="1" w:styleId="62">
    <w:name w:val="正文文本缩进 Char"/>
    <w:basedOn w:val="39"/>
    <w:link w:val="19"/>
    <w:qFormat/>
    <w:locked/>
    <w:uiPriority w:val="99"/>
    <w:rPr>
      <w:rFonts w:ascii="KaiTi_GB2312" w:hAnsi="Times New Roman" w:eastAsia="KaiTi_GB2312" w:cs="Times New Roman"/>
      <w:sz w:val="32"/>
      <w:szCs w:val="32"/>
    </w:rPr>
  </w:style>
  <w:style w:type="character" w:customStyle="1" w:styleId="63">
    <w:name w:val="纯文本 Char"/>
    <w:basedOn w:val="39"/>
    <w:link w:val="23"/>
    <w:qFormat/>
    <w:locked/>
    <w:uiPriority w:val="0"/>
    <w:rPr>
      <w:rFonts w:ascii="宋体" w:hAnsi="Courier New" w:eastAsia="宋体" w:cs="Courier New"/>
      <w:sz w:val="21"/>
      <w:szCs w:val="21"/>
    </w:rPr>
  </w:style>
  <w:style w:type="character" w:customStyle="1" w:styleId="64">
    <w:name w:val="日期 Char"/>
    <w:basedOn w:val="39"/>
    <w:link w:val="24"/>
    <w:qFormat/>
    <w:locked/>
    <w:uiPriority w:val="99"/>
    <w:rPr>
      <w:rFonts w:ascii="Times New Roman" w:hAnsi="Times New Roman" w:eastAsia="宋体" w:cs="Times New Roman"/>
      <w:sz w:val="24"/>
      <w:szCs w:val="24"/>
    </w:rPr>
  </w:style>
  <w:style w:type="character" w:customStyle="1" w:styleId="65">
    <w:name w:val="正文文本缩进 2 Char"/>
    <w:basedOn w:val="39"/>
    <w:link w:val="25"/>
    <w:qFormat/>
    <w:locked/>
    <w:uiPriority w:val="99"/>
    <w:rPr>
      <w:rFonts w:ascii="Arial" w:hAnsi="Arial" w:eastAsia="仿宋_GB2312" w:cs="Arial"/>
      <w:sz w:val="32"/>
      <w:szCs w:val="32"/>
    </w:rPr>
  </w:style>
  <w:style w:type="character" w:customStyle="1" w:styleId="66">
    <w:name w:val="批注框文本 Char1"/>
    <w:basedOn w:val="39"/>
    <w:semiHidden/>
    <w:qFormat/>
    <w:locked/>
    <w:uiPriority w:val="99"/>
    <w:rPr>
      <w:rFonts w:ascii="Times New Roman" w:hAnsi="Times New Roman" w:eastAsia="宋体" w:cs="Times New Roman"/>
      <w:sz w:val="18"/>
      <w:szCs w:val="18"/>
    </w:rPr>
  </w:style>
  <w:style w:type="character" w:customStyle="1" w:styleId="67">
    <w:name w:val="页脚 Char"/>
    <w:basedOn w:val="39"/>
    <w:link w:val="27"/>
    <w:qFormat/>
    <w:locked/>
    <w:uiPriority w:val="99"/>
    <w:rPr>
      <w:rFonts w:ascii="Times New Roman" w:hAnsi="Times New Roman" w:eastAsia="宋体" w:cs="Times New Roman"/>
      <w:sz w:val="18"/>
      <w:szCs w:val="18"/>
    </w:rPr>
  </w:style>
  <w:style w:type="character" w:customStyle="1" w:styleId="68">
    <w:name w:val="正文首行缩进 2 Char"/>
    <w:basedOn w:val="62"/>
    <w:link w:val="36"/>
    <w:qFormat/>
    <w:locked/>
    <w:uiPriority w:val="99"/>
    <w:rPr>
      <w:rFonts w:ascii="宋体" w:hAnsi="宋体" w:eastAsia="宋体" w:cs="Times New Roman"/>
      <w:sz w:val="20"/>
      <w:szCs w:val="20"/>
    </w:rPr>
  </w:style>
  <w:style w:type="character" w:customStyle="1" w:styleId="69">
    <w:name w:val="页眉 Char"/>
    <w:basedOn w:val="39"/>
    <w:link w:val="28"/>
    <w:qFormat/>
    <w:locked/>
    <w:uiPriority w:val="99"/>
    <w:rPr>
      <w:rFonts w:ascii="Times New Roman" w:hAnsi="Times New Roman" w:eastAsia="宋体" w:cs="Times New Roman"/>
      <w:sz w:val="18"/>
      <w:szCs w:val="18"/>
    </w:rPr>
  </w:style>
  <w:style w:type="character" w:customStyle="1" w:styleId="70">
    <w:name w:val="正文文本缩进 3 Char"/>
    <w:basedOn w:val="39"/>
    <w:link w:val="31"/>
    <w:qFormat/>
    <w:locked/>
    <w:uiPriority w:val="99"/>
    <w:rPr>
      <w:rFonts w:ascii="Arial" w:hAnsi="Arial" w:eastAsia="仿宋_GB2312" w:cs="Arial"/>
      <w:color w:val="FFFF00"/>
      <w:sz w:val="32"/>
      <w:szCs w:val="32"/>
    </w:rPr>
  </w:style>
  <w:style w:type="character" w:customStyle="1" w:styleId="71">
    <w:name w:val="正文文本 2 Char"/>
    <w:basedOn w:val="39"/>
    <w:link w:val="33"/>
    <w:qFormat/>
    <w:locked/>
    <w:uiPriority w:val="99"/>
    <w:rPr>
      <w:rFonts w:ascii="KaiTi_GB2312" w:hAnsi="Times New Roman" w:eastAsia="KaiTi_GB2312" w:cs="Times New Roman"/>
      <w:sz w:val="28"/>
      <w:szCs w:val="28"/>
    </w:rPr>
  </w:style>
  <w:style w:type="character" w:customStyle="1" w:styleId="72">
    <w:name w:val="正文缩进 Char"/>
    <w:link w:val="5"/>
    <w:qFormat/>
    <w:locked/>
    <w:uiPriority w:val="99"/>
    <w:rPr>
      <w:rFonts w:ascii="Times New Roman" w:hAnsi="Times New Roman" w:eastAsia="宋体"/>
      <w:sz w:val="21"/>
    </w:rPr>
  </w:style>
  <w:style w:type="paragraph" w:customStyle="1" w:styleId="73">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74">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75">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76">
    <w:name w:val="附录1"/>
    <w:qFormat/>
    <w:uiPriority w:val="99"/>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77">
    <w:name w:val="4"/>
    <w:basedOn w:val="1"/>
    <w:next w:val="31"/>
    <w:qFormat/>
    <w:uiPriority w:val="99"/>
    <w:pPr>
      <w:spacing w:line="360" w:lineRule="auto"/>
      <w:ind w:firstLine="420"/>
    </w:pPr>
    <w:rPr>
      <w:color w:val="FF0000"/>
      <w:sz w:val="24"/>
      <w:szCs w:val="24"/>
    </w:rPr>
  </w:style>
  <w:style w:type="paragraph" w:customStyle="1" w:styleId="78">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79">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0">
    <w:name w:val="Body Text(ch)"/>
    <w:basedOn w:val="1"/>
    <w:next w:val="17"/>
    <w:qFormat/>
    <w:uiPriority w:val="99"/>
    <w:pPr>
      <w:spacing w:after="120"/>
    </w:pPr>
    <w:rPr>
      <w:rFonts w:ascii="宋体" w:hAnsi="Arial"/>
      <w:bCs/>
      <w:iCs/>
      <w:szCs w:val="24"/>
    </w:rPr>
  </w:style>
  <w:style w:type="paragraph" w:customStyle="1" w:styleId="81">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82">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84">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85">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86">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8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8">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9">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0">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1">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92">
    <w:name w:val="Char"/>
    <w:basedOn w:val="14"/>
    <w:qFormat/>
    <w:uiPriority w:val="0"/>
    <w:rPr>
      <w:rFonts w:ascii="Tahoma" w:hAnsi="Tahoma"/>
      <w:sz w:val="24"/>
      <w:szCs w:val="24"/>
    </w:rPr>
  </w:style>
  <w:style w:type="character" w:customStyle="1" w:styleId="93">
    <w:name w:val="批注文字 Char"/>
    <w:basedOn w:val="39"/>
    <w:link w:val="15"/>
    <w:semiHidden/>
    <w:qFormat/>
    <w:locked/>
    <w:uiPriority w:val="99"/>
    <w:rPr>
      <w:rFonts w:ascii="Times New Roman" w:hAnsi="Times New Roman" w:eastAsia="宋体" w:cs="Times New Roman"/>
      <w:sz w:val="21"/>
      <w:szCs w:val="21"/>
    </w:rPr>
  </w:style>
  <w:style w:type="character" w:customStyle="1" w:styleId="94">
    <w:name w:val="批注主题 Char"/>
    <w:basedOn w:val="93"/>
    <w:link w:val="35"/>
    <w:semiHidden/>
    <w:qFormat/>
    <w:locked/>
    <w:uiPriority w:val="99"/>
    <w:rPr>
      <w:rFonts w:ascii="Times New Roman" w:hAnsi="Times New Roman" w:eastAsia="宋体" w:cs="Times New Roman"/>
      <w:b/>
      <w:bCs/>
      <w:sz w:val="21"/>
      <w:szCs w:val="21"/>
    </w:rPr>
  </w:style>
  <w:style w:type="character" w:customStyle="1" w:styleId="95">
    <w:name w:val="批注框文本 Char"/>
    <w:basedOn w:val="39"/>
    <w:link w:val="26"/>
    <w:semiHidden/>
    <w:qFormat/>
    <w:locked/>
    <w:uiPriority w:val="99"/>
    <w:rPr>
      <w:rFonts w:ascii="Times New Roman" w:hAnsi="Times New Roman" w:eastAsia="宋体" w:cs="Times New Roman"/>
      <w:sz w:val="18"/>
      <w:szCs w:val="18"/>
    </w:rPr>
  </w:style>
  <w:style w:type="paragraph" w:customStyle="1" w:styleId="96">
    <w:name w:val="table_1stline"/>
    <w:basedOn w:val="1"/>
    <w:qFormat/>
    <w:uiPriority w:val="99"/>
    <w:pPr>
      <w:widowControl/>
      <w:spacing w:before="120"/>
      <w:jc w:val="left"/>
    </w:pPr>
    <w:rPr>
      <w:bCs/>
      <w:kern w:val="0"/>
      <w:sz w:val="20"/>
      <w:szCs w:val="20"/>
      <w:lang w:val="de-DE" w:eastAsia="de-DE"/>
    </w:rPr>
  </w:style>
  <w:style w:type="paragraph" w:customStyle="1" w:styleId="97">
    <w:name w:val="table_lines"/>
    <w:basedOn w:val="1"/>
    <w:qFormat/>
    <w:uiPriority w:val="99"/>
    <w:pPr>
      <w:widowControl/>
      <w:jc w:val="left"/>
    </w:pPr>
    <w:rPr>
      <w:kern w:val="0"/>
      <w:sz w:val="20"/>
      <w:szCs w:val="20"/>
      <w:lang w:val="de-DE" w:eastAsia="de-DE"/>
    </w:rPr>
  </w:style>
  <w:style w:type="character" w:customStyle="1" w:styleId="98">
    <w:name w:val="font5 Char"/>
    <w:qFormat/>
    <w:uiPriority w:val="99"/>
    <w:rPr>
      <w:rFonts w:ascii="宋体" w:hAnsi="宋体" w:eastAsia="宋体"/>
      <w:sz w:val="28"/>
      <w:lang w:val="en-US" w:eastAsia="zh-CN"/>
    </w:rPr>
  </w:style>
  <w:style w:type="paragraph" w:customStyle="1" w:styleId="99">
    <w:name w:val="Char Char Char Char"/>
    <w:basedOn w:val="14"/>
    <w:qFormat/>
    <w:uiPriority w:val="99"/>
    <w:pPr>
      <w:adjustRightInd w:val="0"/>
      <w:snapToGrid w:val="0"/>
      <w:spacing w:line="360" w:lineRule="auto"/>
    </w:pPr>
    <w:rPr>
      <w:rFonts w:ascii="Tahoma" w:hAnsi="Tahoma"/>
      <w:sz w:val="24"/>
      <w:szCs w:val="24"/>
    </w:rPr>
  </w:style>
  <w:style w:type="paragraph" w:customStyle="1" w:styleId="100">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01">
    <w:name w:val="列出段落1"/>
    <w:basedOn w:val="1"/>
    <w:qFormat/>
    <w:uiPriority w:val="99"/>
    <w:pPr>
      <w:widowControl/>
      <w:ind w:left="720"/>
      <w:contextualSpacing/>
      <w:jc w:val="left"/>
    </w:pPr>
    <w:rPr>
      <w:rFonts w:ascii="Calibri" w:hAnsi="Calibri"/>
      <w:kern w:val="0"/>
      <w:sz w:val="24"/>
      <w:szCs w:val="24"/>
      <w:lang w:eastAsia="en-US"/>
    </w:rPr>
  </w:style>
  <w:style w:type="paragraph" w:customStyle="1" w:styleId="102">
    <w:name w:val="Char Char Char Char Char Char Char Char Char Char"/>
    <w:basedOn w:val="1"/>
    <w:qFormat/>
    <w:uiPriority w:val="99"/>
    <w:pPr>
      <w:adjustRightInd w:val="0"/>
      <w:spacing w:line="360" w:lineRule="auto"/>
    </w:pPr>
    <w:rPr>
      <w:kern w:val="0"/>
      <w:sz w:val="24"/>
      <w:szCs w:val="20"/>
    </w:rPr>
  </w:style>
  <w:style w:type="character" w:customStyle="1" w:styleId="103">
    <w:name w:val="列出段落 Char"/>
    <w:link w:val="104"/>
    <w:qFormat/>
    <w:locked/>
    <w:uiPriority w:val="99"/>
    <w:rPr>
      <w:rFonts w:ascii="Calibri" w:hAnsi="Calibri"/>
      <w:sz w:val="24"/>
      <w:lang w:eastAsia="en-US"/>
    </w:rPr>
  </w:style>
  <w:style w:type="paragraph" w:customStyle="1" w:styleId="104">
    <w:name w:val="列出段落11"/>
    <w:basedOn w:val="1"/>
    <w:link w:val="103"/>
    <w:qFormat/>
    <w:uiPriority w:val="99"/>
    <w:pPr>
      <w:widowControl/>
      <w:ind w:left="720"/>
      <w:contextualSpacing/>
      <w:jc w:val="left"/>
    </w:pPr>
    <w:rPr>
      <w:rFonts w:ascii="Calibri" w:hAnsi="Calibri"/>
      <w:kern w:val="0"/>
      <w:sz w:val="24"/>
      <w:szCs w:val="20"/>
      <w:lang w:eastAsia="en-US"/>
    </w:rPr>
  </w:style>
  <w:style w:type="character" w:customStyle="1" w:styleId="105">
    <w:name w:val="二级目录 Char"/>
    <w:link w:val="106"/>
    <w:qFormat/>
    <w:locked/>
    <w:uiPriority w:val="99"/>
    <w:rPr>
      <w:b/>
      <w:kern w:val="2"/>
      <w:sz w:val="30"/>
      <w:szCs w:val="28"/>
      <w:lang w:val="en-US" w:eastAsia="zh-CN" w:bidi="ar-SA"/>
    </w:rPr>
  </w:style>
  <w:style w:type="paragraph" w:customStyle="1" w:styleId="106">
    <w:name w:val="二级目录"/>
    <w:next w:val="1"/>
    <w:link w:val="105"/>
    <w:qFormat/>
    <w:uiPriority w:val="99"/>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character" w:customStyle="1" w:styleId="107">
    <w:name w:val="news12241"/>
    <w:basedOn w:val="39"/>
    <w:qFormat/>
    <w:uiPriority w:val="0"/>
    <w:rPr>
      <w:color w:val="000000"/>
      <w:sz w:val="18"/>
      <w:szCs w:val="18"/>
      <w:u w:val="none"/>
    </w:rPr>
  </w:style>
  <w:style w:type="character" w:customStyle="1" w:styleId="108">
    <w:name w:val="apple-converted-space"/>
    <w:basedOn w:val="39"/>
    <w:qFormat/>
    <w:uiPriority w:val="0"/>
  </w:style>
  <w:style w:type="paragraph" w:customStyle="1" w:styleId="109">
    <w:name w:val="列出段落2"/>
    <w:basedOn w:val="1"/>
    <w:qFormat/>
    <w:uiPriority w:val="0"/>
    <w:pPr>
      <w:ind w:firstLine="420" w:firstLineChars="200"/>
    </w:pPr>
    <w:rPr>
      <w:rFonts w:ascii="Calibri" w:hAnsi="Calibri"/>
      <w:szCs w:val="22"/>
    </w:rPr>
  </w:style>
  <w:style w:type="paragraph" w:styleId="110">
    <w:name w:val="List Paragraph"/>
    <w:basedOn w:val="1"/>
    <w:link w:val="113"/>
    <w:qFormat/>
    <w:uiPriority w:val="34"/>
    <w:pPr>
      <w:spacing w:line="360" w:lineRule="auto"/>
      <w:ind w:firstLine="420" w:firstLineChars="200"/>
    </w:pPr>
    <w:rPr>
      <w:sz w:val="24"/>
      <w:szCs w:val="22"/>
    </w:rPr>
  </w:style>
  <w:style w:type="paragraph" w:customStyle="1" w:styleId="111">
    <w:name w:val="TOC 标题1"/>
    <w:basedOn w:val="3"/>
    <w:next w:val="1"/>
    <w:unhideWhenUsed/>
    <w:qFormat/>
    <w:uiPriority w:val="39"/>
    <w:pPr>
      <w:keepLines/>
      <w:widowControl/>
      <w:spacing w:before="240" w:line="259" w:lineRule="auto"/>
      <w:jc w:val="left"/>
      <w:outlineLvl w:val="9"/>
    </w:pPr>
    <w:rPr>
      <w:rFonts w:ascii="Cambria" w:hAnsi="Cambria" w:eastAsia="宋体"/>
      <w:color w:val="365F91"/>
      <w:kern w:val="0"/>
      <w:sz w:val="32"/>
      <w:szCs w:val="32"/>
    </w:rPr>
  </w:style>
  <w:style w:type="paragraph" w:customStyle="1" w:styleId="112">
    <w:name w:val="default"/>
    <w:basedOn w:val="1"/>
    <w:qFormat/>
    <w:uiPriority w:val="99"/>
    <w:pPr>
      <w:widowControl/>
      <w:jc w:val="left"/>
    </w:pPr>
    <w:rPr>
      <w:rFonts w:ascii="黑体" w:hAnsi="黑体" w:eastAsia="黑体" w:cs="宋体"/>
      <w:color w:val="000000"/>
      <w:kern w:val="0"/>
      <w:sz w:val="24"/>
      <w:szCs w:val="24"/>
    </w:rPr>
  </w:style>
  <w:style w:type="character" w:customStyle="1" w:styleId="113">
    <w:name w:val="列出段落 Char1"/>
    <w:link w:val="110"/>
    <w:qFormat/>
    <w:uiPriority w:val="34"/>
    <w:rPr>
      <w:rFonts w:ascii="Times New Roman" w:hAnsi="Times New Roman" w:eastAsia="宋体" w:cs="Times New Roman"/>
      <w:kern w:val="2"/>
      <w:sz w:val="24"/>
      <w:szCs w:val="22"/>
    </w:rPr>
  </w:style>
  <w:style w:type="character" w:customStyle="1" w:styleId="114">
    <w:name w:val="font61"/>
    <w:basedOn w:val="39"/>
    <w:qFormat/>
    <w:uiPriority w:val="0"/>
    <w:rPr>
      <w:rFonts w:hint="eastAsia" w:ascii="微软雅黑" w:hAnsi="微软雅黑" w:eastAsia="微软雅黑" w:cs="微软雅黑"/>
      <w:color w:val="000000"/>
      <w:sz w:val="20"/>
      <w:szCs w:val="20"/>
      <w:u w:val="none"/>
    </w:rPr>
  </w:style>
  <w:style w:type="character" w:customStyle="1" w:styleId="115">
    <w:name w:val="font11"/>
    <w:basedOn w:val="39"/>
    <w:qFormat/>
    <w:uiPriority w:val="0"/>
    <w:rPr>
      <w:rFonts w:hint="eastAsia" w:ascii="宋体" w:hAnsi="宋体" w:eastAsia="宋体" w:cs="宋体"/>
      <w:color w:val="000000"/>
      <w:sz w:val="20"/>
      <w:szCs w:val="20"/>
      <w:u w:val="none"/>
    </w:rPr>
  </w:style>
  <w:style w:type="character" w:customStyle="1" w:styleId="116">
    <w:name w:val="font31"/>
    <w:basedOn w:val="3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54</Pages>
  <Words>4745</Words>
  <Characters>27052</Characters>
  <Lines>225</Lines>
  <Paragraphs>63</Paragraphs>
  <TotalTime>14</TotalTime>
  <ScaleCrop>false</ScaleCrop>
  <LinksUpToDate>false</LinksUpToDate>
  <CharactersWithSpaces>31734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2020-06-27T17:02:00Z</dcterms:created>
  <dc:creator>lenovo</dc:creator>
  <cp:lastModifiedBy>Why not</cp:lastModifiedBy>
  <cp:lastPrinted>2022-01-17T04:57:51Z</cp:lastPrinted>
  <dcterms:modified xsi:type="dcterms:W3CDTF">2022-01-17T05:02:49Z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FD86E9BE2B2E4F0EA50017EC2983222A</vt:lpwstr>
  </property>
</Properties>
</file>