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9A" w:rsidRPr="002106E7" w:rsidRDefault="00E63A9A" w:rsidP="002106E7">
      <w:pPr>
        <w:spacing w:line="540" w:lineRule="exact"/>
        <w:rPr>
          <w:rFonts w:eastAsia="方正仿宋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 w:rsidR="00E63A9A" w:rsidRDefault="00E63A9A"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工业企业亩均税收评价的特殊情形</w:t>
      </w:r>
    </w:p>
    <w:p w:rsidR="00E63A9A" w:rsidRDefault="00E63A9A">
      <w:pPr>
        <w:spacing w:line="480" w:lineRule="exact"/>
        <w:ind w:firstLineChars="200" w:firstLine="640"/>
        <w:rPr>
          <w:rFonts w:eastAsia="方正仿宋_GBK"/>
          <w:sz w:val="32"/>
          <w:szCs w:val="32"/>
        </w:rPr>
      </w:pPr>
    </w:p>
    <w:p w:rsidR="00E63A9A" w:rsidRDefault="00E63A9A">
      <w:pPr>
        <w:spacing w:line="48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1</w:t>
      </w:r>
      <w:r>
        <w:rPr>
          <w:rFonts w:eastAsia="方正黑体_GBK" w:hint="eastAsia"/>
          <w:sz w:val="32"/>
          <w:szCs w:val="32"/>
        </w:rPr>
        <w:t>．直接列为</w:t>
      </w:r>
      <w:r>
        <w:rPr>
          <w:rFonts w:eastAsia="方正黑体_GBK"/>
          <w:sz w:val="32"/>
          <w:szCs w:val="32"/>
        </w:rPr>
        <w:t>A</w:t>
      </w:r>
      <w:r>
        <w:rPr>
          <w:rFonts w:eastAsia="方正黑体_GBK" w:hint="eastAsia"/>
          <w:sz w:val="32"/>
          <w:szCs w:val="32"/>
        </w:rPr>
        <w:t>档的企业</w:t>
      </w:r>
    </w:p>
    <w:p w:rsidR="00E63A9A" w:rsidRPr="001331AB" w:rsidRDefault="00E63A9A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1331AB">
        <w:rPr>
          <w:rFonts w:eastAsia="仿宋_GB2312" w:hint="eastAsia"/>
          <w:sz w:val="32"/>
          <w:szCs w:val="32"/>
        </w:rPr>
        <w:t>被认定为市三星级以上且年度税收保持增长的工业企业；年应税销售</w:t>
      </w:r>
      <w:r w:rsidRPr="001331AB">
        <w:rPr>
          <w:rFonts w:eastAsia="仿宋_GB2312"/>
          <w:sz w:val="32"/>
          <w:szCs w:val="32"/>
        </w:rPr>
        <w:t>5</w:t>
      </w:r>
      <w:r w:rsidRPr="001331AB">
        <w:rPr>
          <w:rFonts w:eastAsia="仿宋_GB2312" w:hint="eastAsia"/>
          <w:sz w:val="32"/>
          <w:szCs w:val="32"/>
        </w:rPr>
        <w:t>亿元以上的工业企业；获得国家级企业技术中心（含工程中心、工程技术研究中心、工业设计中心、重点实验室、公共检测服务平台等）的工业企业。</w:t>
      </w:r>
    </w:p>
    <w:p w:rsidR="00E63A9A" w:rsidRDefault="00E63A9A">
      <w:pPr>
        <w:spacing w:line="48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2</w:t>
      </w:r>
      <w:r>
        <w:rPr>
          <w:rFonts w:eastAsia="方正黑体_GBK" w:hint="eastAsia"/>
          <w:sz w:val="32"/>
          <w:szCs w:val="32"/>
        </w:rPr>
        <w:t>．直接列为</w:t>
      </w:r>
      <w:r>
        <w:rPr>
          <w:rFonts w:eastAsia="方正黑体_GBK"/>
          <w:sz w:val="32"/>
          <w:szCs w:val="32"/>
        </w:rPr>
        <w:t>D</w:t>
      </w:r>
      <w:r>
        <w:rPr>
          <w:rFonts w:eastAsia="方正黑体_GBK" w:hint="eastAsia"/>
          <w:sz w:val="32"/>
          <w:szCs w:val="32"/>
        </w:rPr>
        <w:t>档的企业</w:t>
      </w:r>
    </w:p>
    <w:p w:rsidR="00E63A9A" w:rsidRPr="001331AB" w:rsidRDefault="00E63A9A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31AB">
        <w:rPr>
          <w:rFonts w:ascii="仿宋_GB2312" w:eastAsia="仿宋_GB2312" w:hint="eastAsia"/>
          <w:sz w:val="32"/>
          <w:szCs w:val="32"/>
        </w:rPr>
        <w:t>被明确列入淘汰计划的工业企业；年度严重失信、套取（骗取）财政专项资金的工业企业；存在严重违法违规行为被查处的工业企业；发生较大影响安全、环保、质量事故的工业企业。</w:t>
      </w:r>
    </w:p>
    <w:p w:rsidR="00E63A9A" w:rsidRDefault="00E63A9A">
      <w:pPr>
        <w:spacing w:line="48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3</w:t>
      </w:r>
      <w:r>
        <w:rPr>
          <w:rFonts w:eastAsia="方正黑体_GBK" w:hint="eastAsia"/>
          <w:sz w:val="32"/>
          <w:szCs w:val="32"/>
        </w:rPr>
        <w:t>．不得列为</w:t>
      </w:r>
      <w:r>
        <w:rPr>
          <w:rFonts w:eastAsia="方正黑体_GBK"/>
          <w:sz w:val="32"/>
          <w:szCs w:val="32"/>
        </w:rPr>
        <w:t>A</w:t>
      </w:r>
      <w:r>
        <w:rPr>
          <w:rFonts w:eastAsia="方正黑体_GBK" w:hint="eastAsia"/>
          <w:sz w:val="32"/>
          <w:szCs w:val="32"/>
        </w:rPr>
        <w:t>档的企业</w:t>
      </w:r>
    </w:p>
    <w:p w:rsidR="00E63A9A" w:rsidRPr="001331AB" w:rsidRDefault="00E63A9A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1331AB">
        <w:rPr>
          <w:rFonts w:eastAsia="仿宋_GB2312" w:hint="eastAsia"/>
          <w:sz w:val="32"/>
          <w:szCs w:val="32"/>
        </w:rPr>
        <w:t>全年入库税收低于</w:t>
      </w:r>
      <w:r w:rsidRPr="001331AB">
        <w:rPr>
          <w:rFonts w:eastAsia="仿宋_GB2312"/>
          <w:sz w:val="32"/>
          <w:szCs w:val="32"/>
        </w:rPr>
        <w:t>200</w:t>
      </w:r>
      <w:r w:rsidRPr="001331AB">
        <w:rPr>
          <w:rFonts w:eastAsia="仿宋_GB2312" w:hint="eastAsia"/>
          <w:sz w:val="32"/>
          <w:szCs w:val="32"/>
        </w:rPr>
        <w:t>万元的工业企业。</w:t>
      </w:r>
    </w:p>
    <w:p w:rsidR="00E63A9A" w:rsidRDefault="00E63A9A">
      <w:pPr>
        <w:spacing w:line="4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．</w:t>
      </w:r>
      <w:r>
        <w:rPr>
          <w:rFonts w:eastAsia="方正黑体_GBK" w:hint="eastAsia"/>
          <w:sz w:val="32"/>
          <w:szCs w:val="32"/>
        </w:rPr>
        <w:t>不得列为</w:t>
      </w:r>
      <w:r>
        <w:rPr>
          <w:rFonts w:eastAsia="方正黑体_GBK"/>
          <w:sz w:val="32"/>
          <w:szCs w:val="32"/>
        </w:rPr>
        <w:t>D</w:t>
      </w:r>
      <w:r>
        <w:rPr>
          <w:rFonts w:eastAsia="方正黑体_GBK" w:hint="eastAsia"/>
          <w:sz w:val="32"/>
          <w:szCs w:val="32"/>
        </w:rPr>
        <w:t>档的企业</w:t>
      </w:r>
    </w:p>
    <w:p w:rsidR="00E63A9A" w:rsidRPr="001331AB" w:rsidRDefault="00E63A9A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1331AB">
        <w:rPr>
          <w:rFonts w:eastAsia="仿宋_GB2312" w:hint="eastAsia"/>
          <w:sz w:val="32"/>
          <w:szCs w:val="32"/>
        </w:rPr>
        <w:t>全年入库税收超</w:t>
      </w:r>
      <w:r w:rsidRPr="001331AB">
        <w:rPr>
          <w:rFonts w:eastAsia="仿宋_GB2312"/>
          <w:sz w:val="32"/>
          <w:szCs w:val="32"/>
        </w:rPr>
        <w:t>1000</w:t>
      </w:r>
      <w:r w:rsidRPr="001331AB">
        <w:rPr>
          <w:rFonts w:eastAsia="仿宋_GB2312" w:hint="eastAsia"/>
          <w:sz w:val="32"/>
          <w:szCs w:val="32"/>
        </w:rPr>
        <w:t>万元的工业企业；属于有效期内的国家高新技术企业；在主板、中小板、创业板成功上市或新三板挂牌的工业企业（三类企业均无第</w:t>
      </w:r>
      <w:r w:rsidRPr="001331AB">
        <w:rPr>
          <w:rFonts w:eastAsia="仿宋_GB2312"/>
          <w:sz w:val="32"/>
          <w:szCs w:val="32"/>
        </w:rPr>
        <w:t>2</w:t>
      </w:r>
      <w:r w:rsidRPr="001331AB">
        <w:rPr>
          <w:rFonts w:eastAsia="仿宋_GB2312" w:hint="eastAsia"/>
          <w:sz w:val="32"/>
          <w:szCs w:val="32"/>
        </w:rPr>
        <w:t>条所列情况）。</w:t>
      </w:r>
    </w:p>
    <w:p w:rsidR="00E63A9A" w:rsidRDefault="00E63A9A">
      <w:pPr>
        <w:spacing w:line="48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5</w:t>
      </w:r>
      <w:r>
        <w:rPr>
          <w:rFonts w:eastAsia="方正黑体_GBK" w:hint="eastAsia"/>
          <w:sz w:val="32"/>
          <w:szCs w:val="32"/>
        </w:rPr>
        <w:t>．暂缓实施评价的企业</w:t>
      </w:r>
    </w:p>
    <w:p w:rsidR="00E63A9A" w:rsidRPr="001331AB" w:rsidRDefault="00E63A9A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31AB">
        <w:rPr>
          <w:rFonts w:ascii="仿宋_GB2312" w:eastAsia="仿宋_GB2312" w:hint="eastAsia"/>
          <w:sz w:val="32"/>
          <w:szCs w:val="32"/>
        </w:rPr>
        <w:t>对新注册企业和新供地到位的企业，设立两年的过渡期，上半年过渡期届满的，按全年剩余月份的亩均税收数折算年度实绩，纳入当年评价范围；下半年过渡期届满的，纳入下一年度进行评价。过渡期内，上述两类企业如主动申请并经批准后，可以参加企业亩均税收评价，并按评价结果执行相应政策。对于支撑和带动全区产业转型升级、跨越发展的重特大项目，实行“一事一议”。</w:t>
      </w:r>
    </w:p>
    <w:p w:rsidR="00E63A9A" w:rsidRPr="001331AB" w:rsidRDefault="00E63A9A">
      <w:pPr>
        <w:spacing w:line="540" w:lineRule="exact"/>
        <w:rPr>
          <w:rFonts w:ascii="黑体" w:eastAsia="黑体" w:hAnsi="黑体"/>
          <w:sz w:val="32"/>
          <w:szCs w:val="32"/>
        </w:rPr>
      </w:pPr>
      <w:r w:rsidRPr="001331AB">
        <w:rPr>
          <w:rFonts w:ascii="黑体" w:eastAsia="黑体" w:hAnsi="黑体" w:hint="eastAsia"/>
          <w:sz w:val="32"/>
          <w:szCs w:val="32"/>
        </w:rPr>
        <w:t>附件</w:t>
      </w:r>
      <w:r w:rsidRPr="001331AB">
        <w:rPr>
          <w:rFonts w:ascii="黑体" w:eastAsia="黑体" w:hAnsi="黑体"/>
          <w:sz w:val="32"/>
          <w:szCs w:val="32"/>
        </w:rPr>
        <w:t>2</w:t>
      </w:r>
    </w:p>
    <w:p w:rsidR="00E63A9A" w:rsidRDefault="00E63A9A">
      <w:pPr>
        <w:spacing w:line="460" w:lineRule="exact"/>
        <w:rPr>
          <w:rFonts w:eastAsia="方正仿宋_GBK"/>
          <w:sz w:val="32"/>
          <w:szCs w:val="32"/>
        </w:rPr>
      </w:pPr>
    </w:p>
    <w:p w:rsidR="00E63A9A" w:rsidRDefault="00E63A9A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指标解释及计算方法说明</w:t>
      </w:r>
    </w:p>
    <w:p w:rsidR="00E63A9A" w:rsidRDefault="00E63A9A">
      <w:pPr>
        <w:spacing w:line="470" w:lineRule="exact"/>
        <w:rPr>
          <w:rFonts w:eastAsia="方正仿宋_GBK"/>
          <w:sz w:val="32"/>
          <w:szCs w:val="32"/>
        </w:rPr>
      </w:pPr>
    </w:p>
    <w:p w:rsidR="00E63A9A" w:rsidRDefault="00E63A9A">
      <w:pPr>
        <w:spacing w:line="47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一、指标解释</w:t>
      </w:r>
    </w:p>
    <w:p w:rsidR="00E63A9A" w:rsidRPr="001331AB" w:rsidRDefault="00E63A9A" w:rsidP="001331AB">
      <w:pPr>
        <w:spacing w:line="47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331AB">
        <w:rPr>
          <w:rFonts w:eastAsia="方正楷体_GBK"/>
          <w:b/>
          <w:sz w:val="32"/>
          <w:szCs w:val="32"/>
        </w:rPr>
        <w:t>1</w:t>
      </w:r>
      <w:r w:rsidRPr="001331AB">
        <w:rPr>
          <w:rFonts w:ascii="楷体_GB2312" w:eastAsia="楷体_GB2312" w:hint="eastAsia"/>
          <w:b/>
          <w:sz w:val="32"/>
          <w:szCs w:val="32"/>
        </w:rPr>
        <w:t>．企业税收。</w:t>
      </w:r>
      <w:r w:rsidRPr="001331AB">
        <w:rPr>
          <w:rFonts w:ascii="仿宋_GB2312" w:eastAsia="仿宋_GB2312" w:hint="eastAsia"/>
          <w:sz w:val="32"/>
          <w:szCs w:val="32"/>
        </w:rPr>
        <w:t>指企业实际缴纳入库且与持续经营有关的增值税（实际入库数</w:t>
      </w:r>
      <w:r w:rsidRPr="001331AB">
        <w:rPr>
          <w:rFonts w:ascii="仿宋_GB2312" w:eastAsia="仿宋_GB2312"/>
          <w:sz w:val="32"/>
          <w:szCs w:val="32"/>
        </w:rPr>
        <w:t>+</w:t>
      </w:r>
      <w:r w:rsidRPr="001331AB">
        <w:rPr>
          <w:rFonts w:ascii="仿宋_GB2312" w:eastAsia="仿宋_GB2312" w:hint="eastAsia"/>
          <w:sz w:val="32"/>
          <w:szCs w:val="32"/>
        </w:rPr>
        <w:t>免抵数－出口退库以外的其他退库数）、消费税、企业所得税、个人所得税、城市维护建设税、房产税、城镇土地使用税、土地增值税、印花税、车船税、资源税、教育费附加、地方教育附加等税费，不包括契税、耕地占用税、车辆购置税、委托代征税款以及滞纳金和罚款等。</w:t>
      </w:r>
    </w:p>
    <w:p w:rsidR="00E63A9A" w:rsidRPr="001331AB" w:rsidRDefault="00E63A9A" w:rsidP="001331AB">
      <w:pPr>
        <w:spacing w:line="47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331AB">
        <w:rPr>
          <w:rFonts w:eastAsia="方正楷体_GBK"/>
          <w:b/>
          <w:sz w:val="32"/>
          <w:szCs w:val="32"/>
        </w:rPr>
        <w:t>2</w:t>
      </w:r>
      <w:r w:rsidRPr="001331AB">
        <w:rPr>
          <w:rFonts w:ascii="楷体_GB2312" w:eastAsia="楷体_GB2312" w:hint="eastAsia"/>
          <w:b/>
          <w:sz w:val="32"/>
          <w:szCs w:val="32"/>
        </w:rPr>
        <w:t>．应税销售。</w:t>
      </w:r>
      <w:r w:rsidRPr="001331AB">
        <w:rPr>
          <w:rFonts w:ascii="仿宋_GB2312" w:eastAsia="仿宋_GB2312" w:hint="eastAsia"/>
          <w:sz w:val="32"/>
          <w:szCs w:val="32"/>
        </w:rPr>
        <w:t>指企业在税务部门增值税纳税申报表中确认的销售商品、提供劳务等业务的收入。</w:t>
      </w:r>
    </w:p>
    <w:p w:rsidR="00E63A9A" w:rsidRPr="001331AB" w:rsidRDefault="00E63A9A" w:rsidP="001331AB">
      <w:pPr>
        <w:spacing w:line="47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331AB">
        <w:rPr>
          <w:rFonts w:eastAsia="方正楷体_GBK"/>
          <w:b/>
          <w:sz w:val="32"/>
          <w:szCs w:val="32"/>
        </w:rPr>
        <w:t>3</w:t>
      </w:r>
      <w:r w:rsidRPr="001331AB">
        <w:rPr>
          <w:rFonts w:ascii="楷体_GB2312" w:eastAsia="楷体_GB2312" w:hint="eastAsia"/>
          <w:b/>
          <w:sz w:val="32"/>
          <w:szCs w:val="32"/>
        </w:rPr>
        <w:t>．用地面积。</w:t>
      </w:r>
      <w:r w:rsidRPr="001331AB">
        <w:rPr>
          <w:rFonts w:ascii="仿宋_GB2312" w:eastAsia="仿宋_GB2312" w:hint="eastAsia"/>
          <w:sz w:val="32"/>
          <w:szCs w:val="32"/>
        </w:rPr>
        <w:t>指企业实际占用的土地面积，包括企业自有土地、租赁土地。</w:t>
      </w:r>
      <w:r>
        <w:rPr>
          <w:rFonts w:ascii="仿宋_GB2312" w:eastAsia="仿宋_GB2312" w:hint="eastAsia"/>
          <w:sz w:val="32"/>
          <w:szCs w:val="32"/>
        </w:rPr>
        <w:t>“</w:t>
      </w:r>
      <w:r w:rsidRPr="001331AB">
        <w:rPr>
          <w:rFonts w:ascii="仿宋_GB2312" w:eastAsia="仿宋_GB2312" w:hint="eastAsia"/>
          <w:sz w:val="32"/>
          <w:szCs w:val="32"/>
        </w:rPr>
        <w:t>一企多地</w:t>
      </w:r>
      <w:r>
        <w:rPr>
          <w:rFonts w:ascii="仿宋_GB2312" w:eastAsia="仿宋_GB2312" w:hint="eastAsia"/>
          <w:sz w:val="32"/>
          <w:szCs w:val="32"/>
        </w:rPr>
        <w:t>”</w:t>
      </w:r>
      <w:r w:rsidRPr="001331AB">
        <w:rPr>
          <w:rFonts w:ascii="仿宋_GB2312" w:eastAsia="仿宋_GB2312" w:hint="eastAsia"/>
          <w:sz w:val="32"/>
          <w:szCs w:val="32"/>
        </w:rPr>
        <w:t>的合并到一个企业名下计算；</w:t>
      </w:r>
      <w:r>
        <w:rPr>
          <w:rFonts w:ascii="仿宋_GB2312" w:eastAsia="仿宋_GB2312" w:hint="eastAsia"/>
          <w:sz w:val="32"/>
          <w:szCs w:val="32"/>
        </w:rPr>
        <w:t>“</w:t>
      </w:r>
      <w:r w:rsidRPr="001331AB">
        <w:rPr>
          <w:rFonts w:ascii="仿宋_GB2312" w:eastAsia="仿宋_GB2312" w:hint="eastAsia"/>
          <w:sz w:val="32"/>
          <w:szCs w:val="32"/>
        </w:rPr>
        <w:t>一地多企</w:t>
      </w:r>
      <w:r>
        <w:rPr>
          <w:rFonts w:ascii="仿宋_GB2312" w:eastAsia="仿宋_GB2312" w:hint="eastAsia"/>
          <w:sz w:val="32"/>
          <w:szCs w:val="32"/>
        </w:rPr>
        <w:t>”</w:t>
      </w:r>
      <w:r w:rsidRPr="001331AB">
        <w:rPr>
          <w:rFonts w:ascii="仿宋_GB2312" w:eastAsia="仿宋_GB2312" w:hint="eastAsia"/>
          <w:sz w:val="32"/>
          <w:szCs w:val="32"/>
        </w:rPr>
        <w:t>的按企业分别计算。园区企业的用地面积，包含应分摊的园区公用土地面积。</w:t>
      </w:r>
    </w:p>
    <w:p w:rsidR="00E63A9A" w:rsidRPr="001331AB" w:rsidRDefault="00E63A9A" w:rsidP="001331AB">
      <w:pPr>
        <w:spacing w:line="47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331AB">
        <w:rPr>
          <w:rFonts w:eastAsia="方正楷体_GBK"/>
          <w:b/>
          <w:sz w:val="32"/>
          <w:szCs w:val="32"/>
        </w:rPr>
        <w:t>4</w:t>
      </w:r>
      <w:r w:rsidRPr="001331AB">
        <w:rPr>
          <w:rFonts w:ascii="楷体_GB2312" w:eastAsia="楷体_GB2312" w:hint="eastAsia"/>
          <w:b/>
          <w:sz w:val="32"/>
          <w:szCs w:val="32"/>
        </w:rPr>
        <w:t>．固定资产投资额。</w:t>
      </w:r>
      <w:r w:rsidRPr="001331AB">
        <w:rPr>
          <w:rFonts w:ascii="仿宋_GB2312" w:eastAsia="仿宋_GB2312" w:hint="eastAsia"/>
          <w:sz w:val="32"/>
          <w:szCs w:val="32"/>
        </w:rPr>
        <w:t>指包括厂房、设备和地价款。</w:t>
      </w:r>
    </w:p>
    <w:p w:rsidR="00E63A9A" w:rsidRPr="001331AB" w:rsidRDefault="00E63A9A" w:rsidP="001331AB">
      <w:pPr>
        <w:spacing w:line="47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331AB">
        <w:rPr>
          <w:rFonts w:eastAsia="方正楷体_GBK"/>
          <w:b/>
          <w:sz w:val="32"/>
          <w:szCs w:val="32"/>
        </w:rPr>
        <w:t>5</w:t>
      </w:r>
      <w:r w:rsidRPr="001331AB">
        <w:rPr>
          <w:rFonts w:ascii="楷体_GB2312" w:eastAsia="楷体_GB2312" w:hint="eastAsia"/>
          <w:b/>
          <w:sz w:val="32"/>
          <w:szCs w:val="32"/>
        </w:rPr>
        <w:t>．免反担保纯企业信用担保额度。</w:t>
      </w:r>
      <w:r w:rsidRPr="001331AB">
        <w:rPr>
          <w:rFonts w:ascii="仿宋_GB2312" w:eastAsia="仿宋_GB2312" w:hint="eastAsia"/>
          <w:sz w:val="32"/>
          <w:szCs w:val="32"/>
        </w:rPr>
        <w:t>指无需提供资产质押、抵押、第三方保证等反担保措施，仅凭企业和实际控制人自身信用，政策性担保公司即为其提供的担保额度。</w:t>
      </w:r>
    </w:p>
    <w:p w:rsidR="00E63A9A" w:rsidRPr="001331AB" w:rsidRDefault="00E63A9A">
      <w:pPr>
        <w:spacing w:line="4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331AB">
        <w:rPr>
          <w:rFonts w:ascii="黑体" w:eastAsia="黑体" w:hAnsi="黑体" w:hint="eastAsia"/>
          <w:sz w:val="32"/>
          <w:szCs w:val="32"/>
        </w:rPr>
        <w:t>二、指标计算说明</w:t>
      </w:r>
    </w:p>
    <w:p w:rsidR="00E63A9A" w:rsidRPr="001331AB" w:rsidRDefault="00E63A9A" w:rsidP="001331AB">
      <w:pPr>
        <w:spacing w:line="47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331AB">
        <w:rPr>
          <w:rFonts w:eastAsia="方正楷体_GBK"/>
          <w:b/>
          <w:sz w:val="32"/>
          <w:szCs w:val="32"/>
        </w:rPr>
        <w:t>1</w:t>
      </w:r>
      <w:r w:rsidRPr="001331AB">
        <w:rPr>
          <w:rFonts w:ascii="楷体_GB2312" w:eastAsia="楷体_GB2312" w:hint="eastAsia"/>
          <w:b/>
          <w:sz w:val="32"/>
          <w:szCs w:val="32"/>
        </w:rPr>
        <w:t>．亩均税收（万元</w:t>
      </w:r>
      <w:r w:rsidRPr="001331AB">
        <w:rPr>
          <w:rFonts w:ascii="楷体_GB2312" w:eastAsia="楷体_GB2312"/>
          <w:b/>
          <w:sz w:val="32"/>
          <w:szCs w:val="32"/>
        </w:rPr>
        <w:t>/</w:t>
      </w:r>
      <w:r w:rsidRPr="001331AB">
        <w:rPr>
          <w:rFonts w:ascii="楷体_GB2312" w:eastAsia="楷体_GB2312" w:hint="eastAsia"/>
          <w:b/>
          <w:sz w:val="32"/>
          <w:szCs w:val="32"/>
        </w:rPr>
        <w:t>亩）</w:t>
      </w:r>
      <w:r w:rsidRPr="001331AB">
        <w:rPr>
          <w:rFonts w:eastAsia="仿宋_GB2312"/>
          <w:sz w:val="32"/>
          <w:szCs w:val="32"/>
        </w:rPr>
        <w:t>=</w:t>
      </w:r>
      <w:r w:rsidRPr="001331AB">
        <w:rPr>
          <w:rFonts w:ascii="仿宋_GB2312" w:eastAsia="仿宋_GB2312" w:hint="eastAsia"/>
          <w:sz w:val="32"/>
          <w:szCs w:val="32"/>
        </w:rPr>
        <w:t>实缴税收÷占地面积。</w:t>
      </w:r>
    </w:p>
    <w:p w:rsidR="00E63A9A" w:rsidRPr="001331AB" w:rsidRDefault="00E63A9A" w:rsidP="001331AB">
      <w:pPr>
        <w:spacing w:line="47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331AB">
        <w:rPr>
          <w:rFonts w:eastAsia="方正楷体_GBK"/>
          <w:b/>
          <w:sz w:val="32"/>
          <w:szCs w:val="32"/>
        </w:rPr>
        <w:t>2</w:t>
      </w:r>
      <w:r w:rsidRPr="001331AB">
        <w:rPr>
          <w:rFonts w:ascii="楷体_GB2312" w:eastAsia="楷体_GB2312" w:hint="eastAsia"/>
          <w:b/>
          <w:sz w:val="32"/>
          <w:szCs w:val="32"/>
        </w:rPr>
        <w:t>．投资强度（万元</w:t>
      </w:r>
      <w:r w:rsidRPr="001331AB">
        <w:rPr>
          <w:rFonts w:ascii="楷体_GB2312" w:eastAsia="楷体_GB2312"/>
          <w:b/>
          <w:sz w:val="32"/>
          <w:szCs w:val="32"/>
        </w:rPr>
        <w:t>/</w:t>
      </w:r>
      <w:r w:rsidRPr="001331AB">
        <w:rPr>
          <w:rFonts w:ascii="楷体_GB2312" w:eastAsia="楷体_GB2312" w:hint="eastAsia"/>
          <w:b/>
          <w:sz w:val="32"/>
          <w:szCs w:val="32"/>
        </w:rPr>
        <w:t>亩）</w:t>
      </w:r>
      <w:r w:rsidRPr="001331AB">
        <w:rPr>
          <w:rFonts w:eastAsia="仿宋_GB2312"/>
          <w:sz w:val="32"/>
          <w:szCs w:val="32"/>
        </w:rPr>
        <w:t>=</w:t>
      </w:r>
      <w:r w:rsidRPr="001331AB">
        <w:rPr>
          <w:rFonts w:ascii="仿宋_GB2312" w:eastAsia="仿宋_GB2312" w:hint="eastAsia"/>
          <w:sz w:val="32"/>
          <w:szCs w:val="32"/>
        </w:rPr>
        <w:t>项目固定资产总投资</w:t>
      </w:r>
      <w:r w:rsidRPr="001331AB">
        <w:rPr>
          <w:rFonts w:ascii="仿宋_GB2312" w:eastAsia="仿宋_GB2312"/>
          <w:sz w:val="32"/>
          <w:szCs w:val="32"/>
        </w:rPr>
        <w:t>÷</w:t>
      </w:r>
      <w:r w:rsidRPr="001331AB">
        <w:rPr>
          <w:rFonts w:ascii="仿宋_GB2312" w:eastAsia="仿宋_GB2312" w:hint="eastAsia"/>
          <w:sz w:val="32"/>
          <w:szCs w:val="32"/>
        </w:rPr>
        <w:t>项目总用地面积。</w:t>
      </w:r>
    </w:p>
    <w:p w:rsidR="00E63A9A" w:rsidRPr="001331AB" w:rsidRDefault="00E63A9A" w:rsidP="001331AB">
      <w:pPr>
        <w:spacing w:line="47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331AB">
        <w:rPr>
          <w:rFonts w:eastAsia="方正楷体_GBK"/>
          <w:b/>
          <w:sz w:val="32"/>
          <w:szCs w:val="32"/>
        </w:rPr>
        <w:t>3</w:t>
      </w:r>
      <w:r w:rsidRPr="001331AB">
        <w:rPr>
          <w:rFonts w:ascii="楷体_GB2312" w:eastAsia="楷体_GB2312" w:hint="eastAsia"/>
          <w:b/>
          <w:sz w:val="32"/>
          <w:szCs w:val="32"/>
        </w:rPr>
        <w:t>．“集团”企业：</w:t>
      </w:r>
      <w:r w:rsidRPr="001331AB">
        <w:rPr>
          <w:rFonts w:ascii="仿宋_GB2312" w:eastAsia="仿宋_GB2312" w:hint="eastAsia"/>
          <w:sz w:val="32"/>
          <w:szCs w:val="32"/>
        </w:rPr>
        <w:t>可以将集团母公司作为评价对象，注册在盐都的其他关联企业相关数据予以合并。</w:t>
      </w:r>
    </w:p>
    <w:p w:rsidR="00E63A9A" w:rsidRDefault="00E63A9A">
      <w:pPr>
        <w:spacing w:line="540" w:lineRule="exact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</w:p>
    <w:p w:rsidR="00E63A9A" w:rsidRDefault="00E63A9A">
      <w:pPr>
        <w:spacing w:line="540" w:lineRule="exact"/>
        <w:rPr>
          <w:rFonts w:eastAsia="方正仿宋_GBK"/>
          <w:sz w:val="32"/>
          <w:szCs w:val="32"/>
        </w:rPr>
      </w:pPr>
    </w:p>
    <w:p w:rsidR="00E63A9A" w:rsidRDefault="00E63A9A"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工业企业亩均税收评价工作</w:t>
      </w:r>
    </w:p>
    <w:p w:rsidR="00E63A9A" w:rsidRDefault="00E63A9A"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联席会议相关单位职责</w:t>
      </w:r>
    </w:p>
    <w:p w:rsidR="00E63A9A" w:rsidRPr="001331AB" w:rsidRDefault="00E63A9A">
      <w:pPr>
        <w:spacing w:line="530" w:lineRule="exact"/>
        <w:rPr>
          <w:rFonts w:eastAsia="仿宋_GB2312"/>
          <w:sz w:val="32"/>
          <w:szCs w:val="32"/>
        </w:rPr>
      </w:pPr>
    </w:p>
    <w:p w:rsidR="00E63A9A" w:rsidRPr="001331AB" w:rsidRDefault="00E63A9A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1331AB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 w:rsidRPr="001331AB">
        <w:rPr>
          <w:rFonts w:eastAsia="仿宋_GB2312" w:hint="eastAsia"/>
          <w:sz w:val="32"/>
          <w:szCs w:val="32"/>
        </w:rPr>
        <w:t>区经信委：负责区工业企业亩均税收评价联席会议日常工作，统筹协调全区评价工作。</w:t>
      </w:r>
    </w:p>
    <w:p w:rsidR="00E63A9A" w:rsidRPr="001331AB" w:rsidRDefault="00E63A9A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1331AB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 w:rsidRPr="001331AB">
        <w:rPr>
          <w:rFonts w:eastAsia="仿宋_GB2312" w:hint="eastAsia"/>
          <w:sz w:val="32"/>
          <w:szCs w:val="32"/>
        </w:rPr>
        <w:t>区发改委：负责认定工业项目投资强度。</w:t>
      </w:r>
    </w:p>
    <w:p w:rsidR="00E63A9A" w:rsidRPr="001331AB" w:rsidRDefault="00E63A9A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1331AB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．盐都</w:t>
      </w:r>
      <w:r w:rsidRPr="001331AB">
        <w:rPr>
          <w:rFonts w:eastAsia="仿宋_GB2312" w:hint="eastAsia"/>
          <w:sz w:val="32"/>
          <w:szCs w:val="32"/>
        </w:rPr>
        <w:t>国土分局：负责认定工业企业用地面积和清理闲置工业用地。</w:t>
      </w:r>
    </w:p>
    <w:p w:rsidR="00E63A9A" w:rsidRPr="001331AB" w:rsidRDefault="00E63A9A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1331AB"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 w:rsidRPr="001331AB">
        <w:rPr>
          <w:rFonts w:eastAsia="仿宋_GB2312" w:hint="eastAsia"/>
          <w:sz w:val="32"/>
          <w:szCs w:val="32"/>
        </w:rPr>
        <w:t>区税务局：负责认定工业企业开票销售和入库税收。</w:t>
      </w:r>
    </w:p>
    <w:p w:rsidR="00E63A9A" w:rsidRPr="001331AB" w:rsidRDefault="00E63A9A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1331AB"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</w:t>
      </w:r>
      <w:r w:rsidRPr="001331AB">
        <w:rPr>
          <w:rFonts w:eastAsia="仿宋_GB2312" w:hint="eastAsia"/>
          <w:sz w:val="32"/>
          <w:szCs w:val="32"/>
        </w:rPr>
        <w:t>区财政局：负责落实财政奖补资金和融资担保差别化政策，核定项目投资强度。</w:t>
      </w:r>
    </w:p>
    <w:p w:rsidR="00E63A9A" w:rsidRPr="001331AB" w:rsidRDefault="00E63A9A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1331AB"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．盐都</w:t>
      </w:r>
      <w:r w:rsidRPr="001331AB">
        <w:rPr>
          <w:rFonts w:eastAsia="仿宋_GB2312" w:hint="eastAsia"/>
          <w:sz w:val="32"/>
          <w:szCs w:val="32"/>
        </w:rPr>
        <w:t>规划分局：负责执行项目容积率、建筑密度等指标。</w:t>
      </w:r>
    </w:p>
    <w:p w:rsidR="00E63A9A" w:rsidRPr="001331AB" w:rsidRDefault="00E63A9A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1331AB"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．</w:t>
      </w:r>
      <w:r w:rsidRPr="001331AB">
        <w:rPr>
          <w:rFonts w:eastAsia="仿宋_GB2312" w:hint="eastAsia"/>
          <w:sz w:val="32"/>
          <w:szCs w:val="32"/>
        </w:rPr>
        <w:t>区统计局：负责提供规模以上工业企业名单及行业代码、地理位置、主要产品等信息。</w:t>
      </w:r>
    </w:p>
    <w:p w:rsidR="00E63A9A" w:rsidRPr="001331AB" w:rsidRDefault="00E63A9A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1331AB"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．</w:t>
      </w:r>
      <w:r w:rsidRPr="001331AB">
        <w:rPr>
          <w:rFonts w:eastAsia="仿宋_GB2312" w:hint="eastAsia"/>
          <w:sz w:val="32"/>
          <w:szCs w:val="32"/>
        </w:rPr>
        <w:t>区市场监管局：负责提供企业注册、企业统一社会信用代码等信息。</w:t>
      </w:r>
    </w:p>
    <w:p w:rsidR="00E63A9A" w:rsidRPr="001331AB" w:rsidRDefault="00E63A9A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1331AB"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．</w:t>
      </w:r>
      <w:r w:rsidRPr="001331AB">
        <w:rPr>
          <w:rFonts w:eastAsia="仿宋_GB2312" w:hint="eastAsia"/>
          <w:sz w:val="32"/>
          <w:szCs w:val="32"/>
        </w:rPr>
        <w:t>区审计局：负责对上报数据的真实性开展随机抽查审计，形成审计意见，审计认定项目投资强度。</w:t>
      </w:r>
    </w:p>
    <w:p w:rsidR="00E63A9A" w:rsidRPr="001331AB" w:rsidRDefault="00E63A9A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1331AB"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．</w:t>
      </w:r>
      <w:r w:rsidRPr="001331AB">
        <w:rPr>
          <w:rFonts w:eastAsia="仿宋_GB2312" w:hint="eastAsia"/>
          <w:sz w:val="32"/>
          <w:szCs w:val="32"/>
        </w:rPr>
        <w:t>各镇（区、街道）：负责审核企业用地、销售、税收、投资等指标数据，具体落实属地企业提高亩均税收政策及有关工作任务。</w:t>
      </w:r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  <w:sectPr w:rsidR="00E63A9A" w:rsidSect="001331AB">
          <w:footerReference w:type="even" r:id="rId6"/>
          <w:footerReference w:type="default" r:id="rId7"/>
          <w:pgSz w:w="11906" w:h="16838" w:code="9"/>
          <w:pgMar w:top="1985" w:right="1531" w:bottom="1701" w:left="1531" w:header="851" w:footer="1418" w:gutter="0"/>
          <w:cols w:space="720"/>
          <w:docGrid w:type="lines" w:linePitch="312"/>
        </w:sectPr>
      </w:pPr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  <w:bookmarkStart w:id="0" w:name="_GoBack"/>
      <w:bookmarkEnd w:id="0"/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</w:p>
    <w:p w:rsidR="00E63A9A" w:rsidRDefault="00E63A9A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</w:p>
    <w:p w:rsidR="00E63A9A" w:rsidRDefault="00E63A9A">
      <w:pPr>
        <w:pStyle w:val="NormalWeb"/>
        <w:spacing w:before="0" w:beforeAutospacing="0" w:after="0" w:afterAutospacing="0" w:line="200" w:lineRule="exact"/>
        <w:ind w:firstLine="646"/>
      </w:pPr>
    </w:p>
    <w:p w:rsidR="00E63A9A" w:rsidRDefault="00E63A9A">
      <w:pPr>
        <w:pStyle w:val="NormalWeb"/>
        <w:spacing w:before="0" w:beforeAutospacing="0" w:after="0" w:afterAutospacing="0" w:line="440" w:lineRule="exact"/>
        <w:ind w:firstLine="645"/>
        <w:rPr>
          <w:rFonts w:ascii="仿宋_GB2312" w:eastAsia="仿宋_GB2312" w:hAnsi="仿宋"/>
          <w:color w:val="000000"/>
          <w:sz w:val="32"/>
          <w:szCs w:val="32"/>
        </w:rPr>
      </w:pPr>
    </w:p>
    <w:p w:rsidR="00E63A9A" w:rsidRDefault="00E63A9A">
      <w:pPr>
        <w:pStyle w:val="NormalWeb"/>
        <w:spacing w:before="0" w:beforeAutospacing="0" w:after="0" w:afterAutospacing="0" w:line="440" w:lineRule="exact"/>
        <w:ind w:firstLine="645"/>
        <w:rPr>
          <w:rFonts w:ascii="仿宋_GB2312" w:eastAsia="仿宋_GB2312" w:hAnsi="仿宋"/>
          <w:color w:val="000000"/>
          <w:sz w:val="32"/>
          <w:szCs w:val="32"/>
        </w:rPr>
      </w:pPr>
    </w:p>
    <w:p w:rsidR="00E63A9A" w:rsidRDefault="00E63A9A">
      <w:pPr>
        <w:pStyle w:val="NormalWeb"/>
        <w:spacing w:before="0" w:beforeAutospacing="0" w:after="0" w:afterAutospacing="0" w:line="440" w:lineRule="exact"/>
        <w:ind w:firstLine="645"/>
        <w:rPr>
          <w:rFonts w:ascii="仿宋_GB2312" w:eastAsia="仿宋_GB2312" w:hAnsi="仿宋"/>
          <w:color w:val="000000"/>
          <w:sz w:val="32"/>
          <w:szCs w:val="32"/>
        </w:rPr>
      </w:pPr>
    </w:p>
    <w:tbl>
      <w:tblPr>
        <w:tblW w:w="8834" w:type="dxa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34"/>
      </w:tblGrid>
      <w:tr w:rsidR="00E63A9A">
        <w:tc>
          <w:tcPr>
            <w:tcW w:w="8834" w:type="dxa"/>
            <w:tcBorders>
              <w:top w:val="single" w:sz="12" w:space="0" w:color="000000"/>
            </w:tcBorders>
          </w:tcPr>
          <w:p w:rsidR="00E63A9A" w:rsidRDefault="00E63A9A">
            <w:pPr>
              <w:pStyle w:val="NormalWeb"/>
              <w:spacing w:before="0" w:beforeAutospacing="0" w:after="0" w:afterAutospacing="0" w:line="440" w:lineRule="exact"/>
              <w:ind w:leftChars="134" w:left="1121" w:hangingChars="300" w:hanging="840"/>
              <w:jc w:val="both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抄送：区委办公室，区人大常委会办公室，区政协办公室，区监委，区法院，区检察院，区人武部。</w:t>
            </w:r>
          </w:p>
        </w:tc>
      </w:tr>
      <w:tr w:rsidR="00E63A9A">
        <w:tc>
          <w:tcPr>
            <w:tcW w:w="8834" w:type="dxa"/>
            <w:tcBorders>
              <w:bottom w:val="single" w:sz="12" w:space="0" w:color="000000"/>
            </w:tcBorders>
          </w:tcPr>
          <w:p w:rsidR="00E63A9A" w:rsidRDefault="00E63A9A">
            <w:pPr>
              <w:pStyle w:val="NormalWeb"/>
              <w:spacing w:before="0" w:beforeAutospacing="0" w:after="0" w:afterAutospacing="0" w:line="440" w:lineRule="exact"/>
              <w:ind w:firstLineChars="50" w:firstLine="140"/>
              <w:jc w:val="both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盐城市盐都区人民政府办公室　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0"/>
                <w:attr w:name="Year" w:val="2018"/>
              </w:smartTagPr>
              <w:r>
                <w:rPr>
                  <w:rFonts w:ascii="Times New Roman" w:eastAsia="仿宋_GB2312" w:hAnsi="Times New Roman" w:cs="Times New Roman"/>
                  <w:color w:val="000000"/>
                  <w:sz w:val="28"/>
                  <w:szCs w:val="28"/>
                </w:rPr>
                <w:t>2018</w:t>
              </w:r>
              <w:r>
                <w:rPr>
                  <w:rFonts w:ascii="Times New Roman" w:eastAsia="仿宋_GB2312" w:hAnsi="Times New Roman" w:cs="Times New Roman" w:hint="eastAsia"/>
                  <w:color w:val="000000"/>
                  <w:sz w:val="28"/>
                  <w:szCs w:val="28"/>
                </w:rPr>
                <w:t>年</w:t>
              </w:r>
              <w:r>
                <w:rPr>
                  <w:rFonts w:ascii="Times New Roman" w:eastAsia="仿宋_GB2312" w:hAnsi="Times New Roman" w:cs="Times New Roman"/>
                  <w:color w:val="000000"/>
                  <w:sz w:val="28"/>
                  <w:szCs w:val="28"/>
                </w:rPr>
                <w:t>10</w:t>
              </w:r>
              <w:r>
                <w:rPr>
                  <w:rFonts w:ascii="Times New Roman" w:eastAsia="仿宋_GB2312" w:hAnsi="Times New Roman" w:cs="Times New Roman" w:hint="eastAsia"/>
                  <w:color w:val="000000"/>
                  <w:sz w:val="28"/>
                  <w:szCs w:val="28"/>
                </w:rPr>
                <w:t>月</w:t>
              </w:r>
              <w:r>
                <w:rPr>
                  <w:rFonts w:ascii="Times New Roman" w:eastAsia="仿宋_GB2312" w:hAnsi="Times New Roman" w:cs="Times New Roman"/>
                  <w:color w:val="000000"/>
                  <w:sz w:val="28"/>
                  <w:szCs w:val="28"/>
                </w:rPr>
                <w:t>27</w:t>
              </w:r>
              <w:r>
                <w:rPr>
                  <w:rFonts w:ascii="Times New Roman" w:eastAsia="仿宋_GB2312" w:hAnsi="Times New Roman" w:cs="Times New Roman" w:hint="eastAsia"/>
                  <w:color w:val="000000"/>
                  <w:sz w:val="28"/>
                  <w:szCs w:val="28"/>
                </w:rPr>
                <w:t>日</w:t>
              </w:r>
            </w:smartTag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印发</w:t>
            </w:r>
          </w:p>
        </w:tc>
      </w:tr>
    </w:tbl>
    <w:p w:rsidR="00E63A9A" w:rsidRDefault="00E63A9A">
      <w:pPr>
        <w:spacing w:line="100" w:lineRule="exact"/>
        <w:ind w:firstLineChars="200" w:firstLine="420"/>
      </w:pPr>
    </w:p>
    <w:sectPr w:rsidR="00E63A9A" w:rsidSect="001331AB">
      <w:footerReference w:type="default" r:id="rId8"/>
      <w:pgSz w:w="11906" w:h="16838" w:code="9"/>
      <w:pgMar w:top="1985" w:right="1531" w:bottom="1701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9A" w:rsidRPr="00E0711C" w:rsidRDefault="00E63A9A" w:rsidP="000E43B5">
      <w:pPr>
        <w:ind w:firstLine="680"/>
      </w:pPr>
      <w:r>
        <w:separator/>
      </w:r>
    </w:p>
  </w:endnote>
  <w:endnote w:type="continuationSeparator" w:id="0">
    <w:p w:rsidR="00E63A9A" w:rsidRPr="00E0711C" w:rsidRDefault="00E63A9A" w:rsidP="000E43B5">
      <w:pPr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9A" w:rsidRDefault="00E63A9A" w:rsidP="001331A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3A9A" w:rsidRDefault="00E63A9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9A" w:rsidRPr="001331AB" w:rsidRDefault="00E63A9A" w:rsidP="001331AB">
    <w:pPr>
      <w:pStyle w:val="Footer"/>
      <w:framePr w:wrap="around" w:vAnchor="text" w:hAnchor="margin" w:xAlign="outside" w:y="1"/>
      <w:ind w:leftChars="200" w:left="420" w:rightChars="200" w:right="420"/>
      <w:rPr>
        <w:rStyle w:val="PageNumber"/>
        <w:sz w:val="28"/>
        <w:szCs w:val="28"/>
      </w:rPr>
    </w:pPr>
    <w:r w:rsidRPr="001331AB">
      <w:rPr>
        <w:rStyle w:val="PageNumber"/>
        <w:sz w:val="28"/>
        <w:szCs w:val="28"/>
      </w:rPr>
      <w:t xml:space="preserve">—  </w:t>
    </w:r>
    <w:r w:rsidRPr="001331AB">
      <w:rPr>
        <w:rStyle w:val="PageNumber"/>
        <w:sz w:val="28"/>
        <w:szCs w:val="28"/>
      </w:rPr>
      <w:fldChar w:fldCharType="begin"/>
    </w:r>
    <w:r w:rsidRPr="001331AB">
      <w:rPr>
        <w:rStyle w:val="PageNumber"/>
        <w:sz w:val="28"/>
        <w:szCs w:val="28"/>
      </w:rPr>
      <w:instrText xml:space="preserve">PAGE  </w:instrText>
    </w:r>
    <w:r w:rsidRPr="001331AB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Pr="001331AB">
      <w:rPr>
        <w:rStyle w:val="PageNumber"/>
        <w:sz w:val="28"/>
        <w:szCs w:val="28"/>
      </w:rPr>
      <w:fldChar w:fldCharType="end"/>
    </w:r>
    <w:r w:rsidRPr="001331AB">
      <w:rPr>
        <w:rStyle w:val="PageNumber"/>
        <w:sz w:val="28"/>
        <w:szCs w:val="28"/>
      </w:rPr>
      <w:t xml:space="preserve">  —</w:t>
    </w:r>
  </w:p>
  <w:p w:rsidR="00E63A9A" w:rsidRPr="001331AB" w:rsidRDefault="00E63A9A" w:rsidP="001331AB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9A" w:rsidRPr="001331AB" w:rsidRDefault="00E63A9A" w:rsidP="001331A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9A" w:rsidRPr="00E0711C" w:rsidRDefault="00E63A9A" w:rsidP="000E43B5">
      <w:pPr>
        <w:ind w:firstLine="680"/>
      </w:pPr>
      <w:r>
        <w:separator/>
      </w:r>
    </w:p>
  </w:footnote>
  <w:footnote w:type="continuationSeparator" w:id="0">
    <w:p w:rsidR="00E63A9A" w:rsidRPr="00E0711C" w:rsidRDefault="00E63A9A" w:rsidP="000E43B5">
      <w:pPr>
        <w:ind w:firstLine="6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AAD"/>
    <w:rsid w:val="00012283"/>
    <w:rsid w:val="00013D16"/>
    <w:rsid w:val="00015163"/>
    <w:rsid w:val="0001745F"/>
    <w:rsid w:val="00017D0C"/>
    <w:rsid w:val="00025C26"/>
    <w:rsid w:val="00026711"/>
    <w:rsid w:val="00031386"/>
    <w:rsid w:val="000317C1"/>
    <w:rsid w:val="0004110E"/>
    <w:rsid w:val="0005124B"/>
    <w:rsid w:val="0005385B"/>
    <w:rsid w:val="00055804"/>
    <w:rsid w:val="00060AD2"/>
    <w:rsid w:val="00060C7D"/>
    <w:rsid w:val="00063BB8"/>
    <w:rsid w:val="0006477A"/>
    <w:rsid w:val="00076A23"/>
    <w:rsid w:val="0008340C"/>
    <w:rsid w:val="000916BC"/>
    <w:rsid w:val="00092768"/>
    <w:rsid w:val="00095334"/>
    <w:rsid w:val="00095550"/>
    <w:rsid w:val="00097766"/>
    <w:rsid w:val="000A35B8"/>
    <w:rsid w:val="000A5621"/>
    <w:rsid w:val="000A6856"/>
    <w:rsid w:val="000A7E0A"/>
    <w:rsid w:val="000B0AFA"/>
    <w:rsid w:val="000B4B17"/>
    <w:rsid w:val="000B562D"/>
    <w:rsid w:val="000C393A"/>
    <w:rsid w:val="000D1144"/>
    <w:rsid w:val="000D5124"/>
    <w:rsid w:val="000D61EF"/>
    <w:rsid w:val="000E1753"/>
    <w:rsid w:val="000E1999"/>
    <w:rsid w:val="000E2036"/>
    <w:rsid w:val="000E43B5"/>
    <w:rsid w:val="000E7B3D"/>
    <w:rsid w:val="000F01F4"/>
    <w:rsid w:val="000F37C0"/>
    <w:rsid w:val="000F59E9"/>
    <w:rsid w:val="0010070F"/>
    <w:rsid w:val="00101DF9"/>
    <w:rsid w:val="00104A92"/>
    <w:rsid w:val="0010541A"/>
    <w:rsid w:val="00112DA9"/>
    <w:rsid w:val="0011364C"/>
    <w:rsid w:val="00115AC6"/>
    <w:rsid w:val="00121E76"/>
    <w:rsid w:val="001239A4"/>
    <w:rsid w:val="0012521E"/>
    <w:rsid w:val="001331AB"/>
    <w:rsid w:val="0013358F"/>
    <w:rsid w:val="001342D5"/>
    <w:rsid w:val="00145E83"/>
    <w:rsid w:val="00151510"/>
    <w:rsid w:val="00151F3C"/>
    <w:rsid w:val="00154FC1"/>
    <w:rsid w:val="0016275E"/>
    <w:rsid w:val="001658F5"/>
    <w:rsid w:val="00167AE2"/>
    <w:rsid w:val="00171F5E"/>
    <w:rsid w:val="00172A27"/>
    <w:rsid w:val="00177EC2"/>
    <w:rsid w:val="0018315F"/>
    <w:rsid w:val="00187B25"/>
    <w:rsid w:val="00192570"/>
    <w:rsid w:val="00196F04"/>
    <w:rsid w:val="0019753A"/>
    <w:rsid w:val="001A0E48"/>
    <w:rsid w:val="001B0157"/>
    <w:rsid w:val="001B3A5A"/>
    <w:rsid w:val="001B4D39"/>
    <w:rsid w:val="001B7599"/>
    <w:rsid w:val="001C13D8"/>
    <w:rsid w:val="001C6E65"/>
    <w:rsid w:val="001C7974"/>
    <w:rsid w:val="001D3635"/>
    <w:rsid w:val="001D604F"/>
    <w:rsid w:val="001D687E"/>
    <w:rsid w:val="001E676B"/>
    <w:rsid w:val="001E75DB"/>
    <w:rsid w:val="00202B7D"/>
    <w:rsid w:val="00204A01"/>
    <w:rsid w:val="002059AE"/>
    <w:rsid w:val="002106E7"/>
    <w:rsid w:val="00210AC0"/>
    <w:rsid w:val="0021673B"/>
    <w:rsid w:val="0022156E"/>
    <w:rsid w:val="00221AE0"/>
    <w:rsid w:val="00221DE8"/>
    <w:rsid w:val="00222BD4"/>
    <w:rsid w:val="0022760B"/>
    <w:rsid w:val="00227B0A"/>
    <w:rsid w:val="00231869"/>
    <w:rsid w:val="00233C58"/>
    <w:rsid w:val="002361EF"/>
    <w:rsid w:val="00236CA4"/>
    <w:rsid w:val="00241354"/>
    <w:rsid w:val="00242A1E"/>
    <w:rsid w:val="002459B5"/>
    <w:rsid w:val="00245E34"/>
    <w:rsid w:val="0024609A"/>
    <w:rsid w:val="00252EE3"/>
    <w:rsid w:val="00266F7A"/>
    <w:rsid w:val="0026787F"/>
    <w:rsid w:val="00267F79"/>
    <w:rsid w:val="00270E4A"/>
    <w:rsid w:val="00271553"/>
    <w:rsid w:val="002737E1"/>
    <w:rsid w:val="002745C9"/>
    <w:rsid w:val="00275A1A"/>
    <w:rsid w:val="00280718"/>
    <w:rsid w:val="00281F73"/>
    <w:rsid w:val="0028215D"/>
    <w:rsid w:val="0028405C"/>
    <w:rsid w:val="0028484F"/>
    <w:rsid w:val="00285449"/>
    <w:rsid w:val="00285668"/>
    <w:rsid w:val="00286711"/>
    <w:rsid w:val="00290ABD"/>
    <w:rsid w:val="002919F0"/>
    <w:rsid w:val="002974ED"/>
    <w:rsid w:val="002A0322"/>
    <w:rsid w:val="002A16DF"/>
    <w:rsid w:val="002A2AC0"/>
    <w:rsid w:val="002A32DE"/>
    <w:rsid w:val="002A4723"/>
    <w:rsid w:val="002A4916"/>
    <w:rsid w:val="002B4481"/>
    <w:rsid w:val="002B7A25"/>
    <w:rsid w:val="002C67CC"/>
    <w:rsid w:val="002C7622"/>
    <w:rsid w:val="002C7F62"/>
    <w:rsid w:val="002D1087"/>
    <w:rsid w:val="002D193E"/>
    <w:rsid w:val="002D5520"/>
    <w:rsid w:val="002D67DB"/>
    <w:rsid w:val="002F182E"/>
    <w:rsid w:val="002F1F61"/>
    <w:rsid w:val="002F2B24"/>
    <w:rsid w:val="002F645A"/>
    <w:rsid w:val="002F719D"/>
    <w:rsid w:val="002F7CC8"/>
    <w:rsid w:val="00302449"/>
    <w:rsid w:val="003105AC"/>
    <w:rsid w:val="00314E25"/>
    <w:rsid w:val="003268D7"/>
    <w:rsid w:val="00330FA6"/>
    <w:rsid w:val="0033135C"/>
    <w:rsid w:val="00331F83"/>
    <w:rsid w:val="00334071"/>
    <w:rsid w:val="003442A4"/>
    <w:rsid w:val="0034434D"/>
    <w:rsid w:val="00347169"/>
    <w:rsid w:val="00347F48"/>
    <w:rsid w:val="003579CF"/>
    <w:rsid w:val="0036269A"/>
    <w:rsid w:val="00364C29"/>
    <w:rsid w:val="0037497D"/>
    <w:rsid w:val="003822E9"/>
    <w:rsid w:val="0038689D"/>
    <w:rsid w:val="00391F3B"/>
    <w:rsid w:val="00394239"/>
    <w:rsid w:val="003947D9"/>
    <w:rsid w:val="003A6719"/>
    <w:rsid w:val="003B1DFC"/>
    <w:rsid w:val="003B494D"/>
    <w:rsid w:val="003B7ABD"/>
    <w:rsid w:val="003C3258"/>
    <w:rsid w:val="003C75D0"/>
    <w:rsid w:val="003D14A5"/>
    <w:rsid w:val="003D4558"/>
    <w:rsid w:val="003D7839"/>
    <w:rsid w:val="003E2B15"/>
    <w:rsid w:val="003E5FF5"/>
    <w:rsid w:val="003F0FFB"/>
    <w:rsid w:val="003F2538"/>
    <w:rsid w:val="003F5AEC"/>
    <w:rsid w:val="003F69C4"/>
    <w:rsid w:val="004029B1"/>
    <w:rsid w:val="004031EB"/>
    <w:rsid w:val="00404C59"/>
    <w:rsid w:val="0040569E"/>
    <w:rsid w:val="00405BE6"/>
    <w:rsid w:val="004137B6"/>
    <w:rsid w:val="00416806"/>
    <w:rsid w:val="00417331"/>
    <w:rsid w:val="00423240"/>
    <w:rsid w:val="00425A62"/>
    <w:rsid w:val="004265B6"/>
    <w:rsid w:val="00433816"/>
    <w:rsid w:val="004473A3"/>
    <w:rsid w:val="00452D19"/>
    <w:rsid w:val="0046185E"/>
    <w:rsid w:val="004646E5"/>
    <w:rsid w:val="00465387"/>
    <w:rsid w:val="00466772"/>
    <w:rsid w:val="00466AC1"/>
    <w:rsid w:val="004679EC"/>
    <w:rsid w:val="00473103"/>
    <w:rsid w:val="004760D2"/>
    <w:rsid w:val="00476C4A"/>
    <w:rsid w:val="004776A9"/>
    <w:rsid w:val="00477BE3"/>
    <w:rsid w:val="00486412"/>
    <w:rsid w:val="00492811"/>
    <w:rsid w:val="004970A0"/>
    <w:rsid w:val="004A2CBE"/>
    <w:rsid w:val="004A6C40"/>
    <w:rsid w:val="004B0085"/>
    <w:rsid w:val="004B3387"/>
    <w:rsid w:val="004B47AF"/>
    <w:rsid w:val="004B6503"/>
    <w:rsid w:val="004B7E0E"/>
    <w:rsid w:val="004C23AE"/>
    <w:rsid w:val="004C3C61"/>
    <w:rsid w:val="004C5926"/>
    <w:rsid w:val="004C68E0"/>
    <w:rsid w:val="004D4544"/>
    <w:rsid w:val="004D655C"/>
    <w:rsid w:val="004D70B6"/>
    <w:rsid w:val="004E5B3F"/>
    <w:rsid w:val="004F0580"/>
    <w:rsid w:val="004F1EF5"/>
    <w:rsid w:val="004F25F6"/>
    <w:rsid w:val="004F66D0"/>
    <w:rsid w:val="00503888"/>
    <w:rsid w:val="005046A3"/>
    <w:rsid w:val="00505341"/>
    <w:rsid w:val="00507642"/>
    <w:rsid w:val="00522905"/>
    <w:rsid w:val="005251BB"/>
    <w:rsid w:val="005260FE"/>
    <w:rsid w:val="005264B6"/>
    <w:rsid w:val="00532376"/>
    <w:rsid w:val="00555B37"/>
    <w:rsid w:val="00555D23"/>
    <w:rsid w:val="005600FF"/>
    <w:rsid w:val="0056044C"/>
    <w:rsid w:val="00562FD8"/>
    <w:rsid w:val="00563031"/>
    <w:rsid w:val="005675C7"/>
    <w:rsid w:val="00572223"/>
    <w:rsid w:val="0058499D"/>
    <w:rsid w:val="00590536"/>
    <w:rsid w:val="00592D61"/>
    <w:rsid w:val="005972DE"/>
    <w:rsid w:val="005A2980"/>
    <w:rsid w:val="005A4347"/>
    <w:rsid w:val="005B1EAC"/>
    <w:rsid w:val="005B420A"/>
    <w:rsid w:val="005C526B"/>
    <w:rsid w:val="005C5D86"/>
    <w:rsid w:val="005C646E"/>
    <w:rsid w:val="005D1E93"/>
    <w:rsid w:val="005D2E9E"/>
    <w:rsid w:val="005D460E"/>
    <w:rsid w:val="005D6FCA"/>
    <w:rsid w:val="005E26E1"/>
    <w:rsid w:val="005F1666"/>
    <w:rsid w:val="005F58CA"/>
    <w:rsid w:val="005F6D4B"/>
    <w:rsid w:val="00600B3B"/>
    <w:rsid w:val="00601A2B"/>
    <w:rsid w:val="006036B5"/>
    <w:rsid w:val="006073B3"/>
    <w:rsid w:val="0061441C"/>
    <w:rsid w:val="00614D8B"/>
    <w:rsid w:val="00615B95"/>
    <w:rsid w:val="00626D3A"/>
    <w:rsid w:val="006302E8"/>
    <w:rsid w:val="00633184"/>
    <w:rsid w:val="00640F4E"/>
    <w:rsid w:val="006466F1"/>
    <w:rsid w:val="006509F5"/>
    <w:rsid w:val="00653A71"/>
    <w:rsid w:val="00657FA5"/>
    <w:rsid w:val="00677E97"/>
    <w:rsid w:val="00681BD8"/>
    <w:rsid w:val="00683821"/>
    <w:rsid w:val="00695213"/>
    <w:rsid w:val="006952CE"/>
    <w:rsid w:val="00697403"/>
    <w:rsid w:val="006A19E8"/>
    <w:rsid w:val="006A2749"/>
    <w:rsid w:val="006A389C"/>
    <w:rsid w:val="006A3AE4"/>
    <w:rsid w:val="006A40C4"/>
    <w:rsid w:val="006A6C7B"/>
    <w:rsid w:val="006B1380"/>
    <w:rsid w:val="006B439B"/>
    <w:rsid w:val="006C1680"/>
    <w:rsid w:val="006C2AB2"/>
    <w:rsid w:val="006C2B0A"/>
    <w:rsid w:val="006C2E12"/>
    <w:rsid w:val="006C3797"/>
    <w:rsid w:val="006C5268"/>
    <w:rsid w:val="006C707B"/>
    <w:rsid w:val="006D5070"/>
    <w:rsid w:val="006E3CA3"/>
    <w:rsid w:val="006E5698"/>
    <w:rsid w:val="006E6FF1"/>
    <w:rsid w:val="006E7089"/>
    <w:rsid w:val="006F0329"/>
    <w:rsid w:val="006F21E8"/>
    <w:rsid w:val="0070003A"/>
    <w:rsid w:val="007014F4"/>
    <w:rsid w:val="00701836"/>
    <w:rsid w:val="0070701E"/>
    <w:rsid w:val="00716305"/>
    <w:rsid w:val="00716AE9"/>
    <w:rsid w:val="00732496"/>
    <w:rsid w:val="0073256B"/>
    <w:rsid w:val="00732940"/>
    <w:rsid w:val="00733C77"/>
    <w:rsid w:val="00740514"/>
    <w:rsid w:val="0074199B"/>
    <w:rsid w:val="007511E4"/>
    <w:rsid w:val="00761294"/>
    <w:rsid w:val="007617AD"/>
    <w:rsid w:val="00761AFD"/>
    <w:rsid w:val="00762077"/>
    <w:rsid w:val="0076435F"/>
    <w:rsid w:val="00764F7B"/>
    <w:rsid w:val="00765645"/>
    <w:rsid w:val="00767296"/>
    <w:rsid w:val="00767A02"/>
    <w:rsid w:val="0077106E"/>
    <w:rsid w:val="007723D5"/>
    <w:rsid w:val="007726BE"/>
    <w:rsid w:val="007748A7"/>
    <w:rsid w:val="0077706D"/>
    <w:rsid w:val="007772D3"/>
    <w:rsid w:val="00782FA1"/>
    <w:rsid w:val="007878DC"/>
    <w:rsid w:val="0078794D"/>
    <w:rsid w:val="007920AB"/>
    <w:rsid w:val="00793120"/>
    <w:rsid w:val="00794729"/>
    <w:rsid w:val="007A57C1"/>
    <w:rsid w:val="007B5ABD"/>
    <w:rsid w:val="007B6D60"/>
    <w:rsid w:val="007C00BE"/>
    <w:rsid w:val="007C3CF6"/>
    <w:rsid w:val="007C5FDD"/>
    <w:rsid w:val="007D3B9B"/>
    <w:rsid w:val="007D7DFE"/>
    <w:rsid w:val="007E1987"/>
    <w:rsid w:val="007E7E86"/>
    <w:rsid w:val="007F1358"/>
    <w:rsid w:val="007F1804"/>
    <w:rsid w:val="007F4026"/>
    <w:rsid w:val="0080180B"/>
    <w:rsid w:val="00802AF3"/>
    <w:rsid w:val="00802FC0"/>
    <w:rsid w:val="008053C7"/>
    <w:rsid w:val="008116CF"/>
    <w:rsid w:val="0081433B"/>
    <w:rsid w:val="0081684B"/>
    <w:rsid w:val="00821757"/>
    <w:rsid w:val="008238A1"/>
    <w:rsid w:val="00834800"/>
    <w:rsid w:val="008351B2"/>
    <w:rsid w:val="00845169"/>
    <w:rsid w:val="00846706"/>
    <w:rsid w:val="00846A42"/>
    <w:rsid w:val="0085252F"/>
    <w:rsid w:val="008557AF"/>
    <w:rsid w:val="0085756D"/>
    <w:rsid w:val="008603E4"/>
    <w:rsid w:val="00862D77"/>
    <w:rsid w:val="00876915"/>
    <w:rsid w:val="00884E74"/>
    <w:rsid w:val="008873E9"/>
    <w:rsid w:val="008901AF"/>
    <w:rsid w:val="00890B15"/>
    <w:rsid w:val="008A229C"/>
    <w:rsid w:val="008A23A6"/>
    <w:rsid w:val="008A6CBF"/>
    <w:rsid w:val="008B00E0"/>
    <w:rsid w:val="008B0BDA"/>
    <w:rsid w:val="008B794A"/>
    <w:rsid w:val="008E1072"/>
    <w:rsid w:val="008E11E9"/>
    <w:rsid w:val="008E2355"/>
    <w:rsid w:val="008E61B2"/>
    <w:rsid w:val="008E669B"/>
    <w:rsid w:val="0090182E"/>
    <w:rsid w:val="009275B1"/>
    <w:rsid w:val="00927882"/>
    <w:rsid w:val="00927EDB"/>
    <w:rsid w:val="009317B0"/>
    <w:rsid w:val="0093769F"/>
    <w:rsid w:val="00940D6B"/>
    <w:rsid w:val="00942005"/>
    <w:rsid w:val="00942EF2"/>
    <w:rsid w:val="00944645"/>
    <w:rsid w:val="009447BE"/>
    <w:rsid w:val="00950777"/>
    <w:rsid w:val="009572BE"/>
    <w:rsid w:val="00957E33"/>
    <w:rsid w:val="0096332A"/>
    <w:rsid w:val="00963F33"/>
    <w:rsid w:val="00965238"/>
    <w:rsid w:val="00966C7B"/>
    <w:rsid w:val="00967735"/>
    <w:rsid w:val="0097000B"/>
    <w:rsid w:val="00970660"/>
    <w:rsid w:val="00973854"/>
    <w:rsid w:val="00976936"/>
    <w:rsid w:val="00976D98"/>
    <w:rsid w:val="00984ADB"/>
    <w:rsid w:val="009878D2"/>
    <w:rsid w:val="00991151"/>
    <w:rsid w:val="00992821"/>
    <w:rsid w:val="00992BBB"/>
    <w:rsid w:val="00993041"/>
    <w:rsid w:val="00993335"/>
    <w:rsid w:val="009A0068"/>
    <w:rsid w:val="009A0288"/>
    <w:rsid w:val="009A3E22"/>
    <w:rsid w:val="009A563D"/>
    <w:rsid w:val="009B2A46"/>
    <w:rsid w:val="009B4BEF"/>
    <w:rsid w:val="009C02D8"/>
    <w:rsid w:val="009C144C"/>
    <w:rsid w:val="009C29BB"/>
    <w:rsid w:val="009C5091"/>
    <w:rsid w:val="009D12E8"/>
    <w:rsid w:val="009D1C56"/>
    <w:rsid w:val="009D4322"/>
    <w:rsid w:val="009E15D8"/>
    <w:rsid w:val="009E1DC9"/>
    <w:rsid w:val="009E398D"/>
    <w:rsid w:val="009E4126"/>
    <w:rsid w:val="009E4776"/>
    <w:rsid w:val="009E4B20"/>
    <w:rsid w:val="009E725E"/>
    <w:rsid w:val="009F07BB"/>
    <w:rsid w:val="009F1027"/>
    <w:rsid w:val="009F33BC"/>
    <w:rsid w:val="009F4E8B"/>
    <w:rsid w:val="009F5FB0"/>
    <w:rsid w:val="009F6062"/>
    <w:rsid w:val="00A0685E"/>
    <w:rsid w:val="00A07C7F"/>
    <w:rsid w:val="00A148F7"/>
    <w:rsid w:val="00A21CFE"/>
    <w:rsid w:val="00A22817"/>
    <w:rsid w:val="00A26118"/>
    <w:rsid w:val="00A27D6C"/>
    <w:rsid w:val="00A30B60"/>
    <w:rsid w:val="00A30BCB"/>
    <w:rsid w:val="00A3268A"/>
    <w:rsid w:val="00A37343"/>
    <w:rsid w:val="00A37A5B"/>
    <w:rsid w:val="00A46C62"/>
    <w:rsid w:val="00A518A6"/>
    <w:rsid w:val="00A54D1C"/>
    <w:rsid w:val="00A61E60"/>
    <w:rsid w:val="00A662C2"/>
    <w:rsid w:val="00A66536"/>
    <w:rsid w:val="00A7789F"/>
    <w:rsid w:val="00A82306"/>
    <w:rsid w:val="00A84064"/>
    <w:rsid w:val="00A866A3"/>
    <w:rsid w:val="00A90762"/>
    <w:rsid w:val="00A9304D"/>
    <w:rsid w:val="00AA027B"/>
    <w:rsid w:val="00AA2A30"/>
    <w:rsid w:val="00AA3B6C"/>
    <w:rsid w:val="00AB21E4"/>
    <w:rsid w:val="00AB7938"/>
    <w:rsid w:val="00AC3176"/>
    <w:rsid w:val="00AC3716"/>
    <w:rsid w:val="00AC37F6"/>
    <w:rsid w:val="00AC4480"/>
    <w:rsid w:val="00AC4649"/>
    <w:rsid w:val="00AC6EC4"/>
    <w:rsid w:val="00AD1FE5"/>
    <w:rsid w:val="00AD4580"/>
    <w:rsid w:val="00AD4E6B"/>
    <w:rsid w:val="00AE010B"/>
    <w:rsid w:val="00AE0FB3"/>
    <w:rsid w:val="00AE1CC8"/>
    <w:rsid w:val="00AE325A"/>
    <w:rsid w:val="00AE4373"/>
    <w:rsid w:val="00AE46F3"/>
    <w:rsid w:val="00AF0F0C"/>
    <w:rsid w:val="00AF28B3"/>
    <w:rsid w:val="00AF4E04"/>
    <w:rsid w:val="00AF52A6"/>
    <w:rsid w:val="00B116EA"/>
    <w:rsid w:val="00B1465B"/>
    <w:rsid w:val="00B208E4"/>
    <w:rsid w:val="00B4080F"/>
    <w:rsid w:val="00B42B07"/>
    <w:rsid w:val="00B43910"/>
    <w:rsid w:val="00B44C57"/>
    <w:rsid w:val="00B459A7"/>
    <w:rsid w:val="00B45F75"/>
    <w:rsid w:val="00B46B3D"/>
    <w:rsid w:val="00B57C64"/>
    <w:rsid w:val="00B60708"/>
    <w:rsid w:val="00B609FF"/>
    <w:rsid w:val="00B62481"/>
    <w:rsid w:val="00B704FA"/>
    <w:rsid w:val="00B72514"/>
    <w:rsid w:val="00B80EE9"/>
    <w:rsid w:val="00B811E8"/>
    <w:rsid w:val="00B855E1"/>
    <w:rsid w:val="00B9240B"/>
    <w:rsid w:val="00B94664"/>
    <w:rsid w:val="00B95123"/>
    <w:rsid w:val="00B95A9E"/>
    <w:rsid w:val="00BA228A"/>
    <w:rsid w:val="00BA4287"/>
    <w:rsid w:val="00BA46EA"/>
    <w:rsid w:val="00BB3C2B"/>
    <w:rsid w:val="00BB4887"/>
    <w:rsid w:val="00BB665A"/>
    <w:rsid w:val="00BC0271"/>
    <w:rsid w:val="00BC4499"/>
    <w:rsid w:val="00BC6FCB"/>
    <w:rsid w:val="00BC7D57"/>
    <w:rsid w:val="00BD007C"/>
    <w:rsid w:val="00BD3E4E"/>
    <w:rsid w:val="00BE414E"/>
    <w:rsid w:val="00BF24BC"/>
    <w:rsid w:val="00BF6EA2"/>
    <w:rsid w:val="00BF7267"/>
    <w:rsid w:val="00C0358C"/>
    <w:rsid w:val="00C04547"/>
    <w:rsid w:val="00C07E4D"/>
    <w:rsid w:val="00C107AE"/>
    <w:rsid w:val="00C10C53"/>
    <w:rsid w:val="00C1384A"/>
    <w:rsid w:val="00C14053"/>
    <w:rsid w:val="00C17FE1"/>
    <w:rsid w:val="00C25F22"/>
    <w:rsid w:val="00C30762"/>
    <w:rsid w:val="00C30CC9"/>
    <w:rsid w:val="00C338B9"/>
    <w:rsid w:val="00C409D7"/>
    <w:rsid w:val="00C41845"/>
    <w:rsid w:val="00C4407A"/>
    <w:rsid w:val="00C50DE2"/>
    <w:rsid w:val="00C53A7E"/>
    <w:rsid w:val="00C54567"/>
    <w:rsid w:val="00C54ECF"/>
    <w:rsid w:val="00C60C27"/>
    <w:rsid w:val="00C61063"/>
    <w:rsid w:val="00C76D66"/>
    <w:rsid w:val="00C77875"/>
    <w:rsid w:val="00C83DD1"/>
    <w:rsid w:val="00C85273"/>
    <w:rsid w:val="00C85D9D"/>
    <w:rsid w:val="00C86054"/>
    <w:rsid w:val="00C94C19"/>
    <w:rsid w:val="00C96EFB"/>
    <w:rsid w:val="00CA1DEE"/>
    <w:rsid w:val="00CA5D69"/>
    <w:rsid w:val="00CA68BB"/>
    <w:rsid w:val="00CB3994"/>
    <w:rsid w:val="00CB45ED"/>
    <w:rsid w:val="00CD2347"/>
    <w:rsid w:val="00CD2AED"/>
    <w:rsid w:val="00CD5B71"/>
    <w:rsid w:val="00CD6C07"/>
    <w:rsid w:val="00CE1128"/>
    <w:rsid w:val="00CE1DFF"/>
    <w:rsid w:val="00CE1F9C"/>
    <w:rsid w:val="00CE2725"/>
    <w:rsid w:val="00CE3041"/>
    <w:rsid w:val="00CE327A"/>
    <w:rsid w:val="00CE38A2"/>
    <w:rsid w:val="00CF6C56"/>
    <w:rsid w:val="00D0118A"/>
    <w:rsid w:val="00D04AA7"/>
    <w:rsid w:val="00D20D76"/>
    <w:rsid w:val="00D21401"/>
    <w:rsid w:val="00D24E33"/>
    <w:rsid w:val="00D2506D"/>
    <w:rsid w:val="00D3627D"/>
    <w:rsid w:val="00D4058E"/>
    <w:rsid w:val="00D41D08"/>
    <w:rsid w:val="00D432B9"/>
    <w:rsid w:val="00D449B8"/>
    <w:rsid w:val="00D44DE1"/>
    <w:rsid w:val="00D47354"/>
    <w:rsid w:val="00D51A31"/>
    <w:rsid w:val="00D53BDC"/>
    <w:rsid w:val="00D55489"/>
    <w:rsid w:val="00D57735"/>
    <w:rsid w:val="00D60B81"/>
    <w:rsid w:val="00D63369"/>
    <w:rsid w:val="00D6464C"/>
    <w:rsid w:val="00D66EF5"/>
    <w:rsid w:val="00D733C7"/>
    <w:rsid w:val="00D73BA5"/>
    <w:rsid w:val="00D74EC0"/>
    <w:rsid w:val="00D75634"/>
    <w:rsid w:val="00D812B8"/>
    <w:rsid w:val="00D85F73"/>
    <w:rsid w:val="00D87B5E"/>
    <w:rsid w:val="00D902EB"/>
    <w:rsid w:val="00D924C1"/>
    <w:rsid w:val="00D96DD7"/>
    <w:rsid w:val="00DA18D3"/>
    <w:rsid w:val="00DA2F81"/>
    <w:rsid w:val="00DA567D"/>
    <w:rsid w:val="00DA5722"/>
    <w:rsid w:val="00DA5DA6"/>
    <w:rsid w:val="00DB1C32"/>
    <w:rsid w:val="00DC579E"/>
    <w:rsid w:val="00DC5FCF"/>
    <w:rsid w:val="00DC7FDF"/>
    <w:rsid w:val="00DD09D2"/>
    <w:rsid w:val="00DD3CC2"/>
    <w:rsid w:val="00DD7271"/>
    <w:rsid w:val="00DE2726"/>
    <w:rsid w:val="00DE552A"/>
    <w:rsid w:val="00DE65A6"/>
    <w:rsid w:val="00DF214F"/>
    <w:rsid w:val="00DF783B"/>
    <w:rsid w:val="00E00783"/>
    <w:rsid w:val="00E02E56"/>
    <w:rsid w:val="00E0711C"/>
    <w:rsid w:val="00E0722E"/>
    <w:rsid w:val="00E10DB9"/>
    <w:rsid w:val="00E1371A"/>
    <w:rsid w:val="00E17898"/>
    <w:rsid w:val="00E21AEF"/>
    <w:rsid w:val="00E222FB"/>
    <w:rsid w:val="00E26E06"/>
    <w:rsid w:val="00E27C3D"/>
    <w:rsid w:val="00E334AC"/>
    <w:rsid w:val="00E33749"/>
    <w:rsid w:val="00E43AA6"/>
    <w:rsid w:val="00E44FA3"/>
    <w:rsid w:val="00E50865"/>
    <w:rsid w:val="00E52BB6"/>
    <w:rsid w:val="00E5740D"/>
    <w:rsid w:val="00E579E6"/>
    <w:rsid w:val="00E60F28"/>
    <w:rsid w:val="00E61B79"/>
    <w:rsid w:val="00E63A9A"/>
    <w:rsid w:val="00E72D33"/>
    <w:rsid w:val="00E83596"/>
    <w:rsid w:val="00EA1BD3"/>
    <w:rsid w:val="00EA4FC7"/>
    <w:rsid w:val="00EB1FFD"/>
    <w:rsid w:val="00EB2267"/>
    <w:rsid w:val="00EB46C5"/>
    <w:rsid w:val="00EB4896"/>
    <w:rsid w:val="00EC4CEE"/>
    <w:rsid w:val="00EC50EF"/>
    <w:rsid w:val="00ED03A2"/>
    <w:rsid w:val="00ED64E7"/>
    <w:rsid w:val="00EE1DBD"/>
    <w:rsid w:val="00EE5890"/>
    <w:rsid w:val="00EF0FB7"/>
    <w:rsid w:val="00EF109D"/>
    <w:rsid w:val="00EF1580"/>
    <w:rsid w:val="00EF34AE"/>
    <w:rsid w:val="00EF5213"/>
    <w:rsid w:val="00F009F5"/>
    <w:rsid w:val="00F044BB"/>
    <w:rsid w:val="00F06A63"/>
    <w:rsid w:val="00F06B96"/>
    <w:rsid w:val="00F122D3"/>
    <w:rsid w:val="00F15AC6"/>
    <w:rsid w:val="00F16681"/>
    <w:rsid w:val="00F20C69"/>
    <w:rsid w:val="00F20D4D"/>
    <w:rsid w:val="00F25784"/>
    <w:rsid w:val="00F25D51"/>
    <w:rsid w:val="00F279F2"/>
    <w:rsid w:val="00F32667"/>
    <w:rsid w:val="00F33E88"/>
    <w:rsid w:val="00F342F8"/>
    <w:rsid w:val="00F36480"/>
    <w:rsid w:val="00F42A7F"/>
    <w:rsid w:val="00F4561C"/>
    <w:rsid w:val="00F53A88"/>
    <w:rsid w:val="00F54CE6"/>
    <w:rsid w:val="00F56014"/>
    <w:rsid w:val="00F57529"/>
    <w:rsid w:val="00F63874"/>
    <w:rsid w:val="00F6558D"/>
    <w:rsid w:val="00F8377C"/>
    <w:rsid w:val="00F90875"/>
    <w:rsid w:val="00F91337"/>
    <w:rsid w:val="00F92A62"/>
    <w:rsid w:val="00FA380C"/>
    <w:rsid w:val="00FA73F8"/>
    <w:rsid w:val="00FB12C8"/>
    <w:rsid w:val="00FB5AEF"/>
    <w:rsid w:val="00FC096F"/>
    <w:rsid w:val="00FE0C35"/>
    <w:rsid w:val="00FE3C92"/>
    <w:rsid w:val="00FE3DEC"/>
    <w:rsid w:val="00FE5E42"/>
    <w:rsid w:val="00FF1072"/>
    <w:rsid w:val="00FF1EBD"/>
    <w:rsid w:val="00FF25E5"/>
    <w:rsid w:val="00FF3779"/>
    <w:rsid w:val="00FF3CB9"/>
    <w:rsid w:val="24CF49B8"/>
    <w:rsid w:val="393560F5"/>
    <w:rsid w:val="5F265600"/>
    <w:rsid w:val="673C7929"/>
    <w:rsid w:val="74B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B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E43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43B5"/>
    <w:rPr>
      <w:rFonts w:ascii="Times New Roman" w:eastAsia="宋体" w:hAnsi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0E4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43B5"/>
    <w:rPr>
      <w:rFonts w:ascii="Times New Roman" w:eastAsia="宋体" w:hAnsi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0E4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43B5"/>
    <w:rPr>
      <w:rFonts w:ascii="Times New Roman" w:eastAsia="宋体" w:hAnsi="Times New Roman"/>
      <w:kern w:val="2"/>
      <w:sz w:val="18"/>
    </w:rPr>
  </w:style>
  <w:style w:type="paragraph" w:styleId="NormalWeb">
    <w:name w:val="Normal (Web)"/>
    <w:basedOn w:val="Normal"/>
    <w:uiPriority w:val="99"/>
    <w:rsid w:val="000E43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0E43B5"/>
    <w:rPr>
      <w:rFonts w:ascii="Times New Roman" w:eastAsia="宋体" w:hAnsi="Times New Roman" w:cs="Times New Roman"/>
      <w:b/>
      <w:bCs/>
    </w:rPr>
  </w:style>
  <w:style w:type="character" w:styleId="PageNumber">
    <w:name w:val="page number"/>
    <w:basedOn w:val="DefaultParagraphFont"/>
    <w:uiPriority w:val="99"/>
    <w:rsid w:val="000E43B5"/>
    <w:rPr>
      <w:rFonts w:ascii="Times New Roman" w:eastAsia="宋体" w:hAnsi="Times New Roman" w:cs="Times New Roman"/>
    </w:rPr>
  </w:style>
  <w:style w:type="character" w:styleId="Hyperlink">
    <w:name w:val="Hyperlink"/>
    <w:basedOn w:val="DefaultParagraphFont"/>
    <w:uiPriority w:val="99"/>
    <w:rsid w:val="000E43B5"/>
    <w:rPr>
      <w:rFonts w:ascii="Times New Roman" w:eastAsia="宋体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E43B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0E43B5"/>
    <w:pPr>
      <w:adjustRightInd w:val="0"/>
      <w:spacing w:line="360" w:lineRule="atLeast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233</Words>
  <Characters>1333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2018年全市投融资体制改革要点</dc:title>
  <dc:subject/>
  <dc:creator>yt</dc:creator>
  <cp:keywords/>
  <dc:description/>
  <cp:lastModifiedBy>施巍(施巍)</cp:lastModifiedBy>
  <cp:revision>2</cp:revision>
  <cp:lastPrinted>2018-10-29T07:53:00Z</cp:lastPrinted>
  <dcterms:created xsi:type="dcterms:W3CDTF">2018-12-04T03:20:00Z</dcterms:created>
  <dcterms:modified xsi:type="dcterms:W3CDTF">2018-12-04T03:20:00Z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